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B7BD1B">
      <w:pPr>
        <w:pStyle w:val="2"/>
      </w:pPr>
      <w:r>
        <w:t>4　实验：导体电阻率的测量</w:t>
      </w:r>
    </w:p>
    <w:p w14:paraId="06A62EAE">
      <w:pPr>
        <w:pStyle w:val="2"/>
      </w:pPr>
      <w:r>
        <w:t>第1课时</w:t>
      </w:r>
      <w:r>
        <w:rPr>
          <w:rFonts w:hint="eastAsia" w:ascii="微软雅黑" w:hAnsi="微软雅黑" w:eastAsia="微软雅黑" w:cs="微软雅黑"/>
        </w:rPr>
        <w:t>　</w:t>
      </w:r>
      <w:r>
        <w:rPr>
          <w:rFonts w:hint="eastAsia" w:ascii="幼圆" w:hAnsi="幼圆" w:cs="幼圆"/>
        </w:rPr>
        <w:t>实验：长度的测量及测量工具的选用</w:t>
      </w:r>
    </w:p>
    <w:p w14:paraId="3DCFD96B">
      <w:pPr>
        <w:tabs>
          <w:tab w:val="left" w:pos="2127"/>
          <w:tab w:val="left" w:pos="4395"/>
          <w:tab w:val="left" w:pos="6521"/>
        </w:tabs>
        <w:spacing w:line="360" w:lineRule="auto"/>
        <w:rPr>
          <w:rFonts w:ascii="Times New Roman" w:hAnsi="Times New Roman"/>
        </w:rPr>
      </w:pPr>
      <w:r>
        <w:rPr>
          <w:rFonts w:ascii="Times New Roman" w:hAnsi="Times New Roman" w:eastAsia="黑体"/>
        </w:rPr>
        <w:t>[学习目标]</w:t>
      </w:r>
      <w:r>
        <w:rPr>
          <w:rFonts w:ascii="Times New Roman" w:hAnsi="Times New Roman"/>
        </w:rPr>
        <w:t>　1.</w:t>
      </w:r>
      <w:r>
        <w:rPr>
          <w:rFonts w:ascii="Times New Roman" w:hAnsi="Times New Roman" w:eastAsia="新宋体"/>
        </w:rPr>
        <w:t>掌握游标卡尺和螺旋测微器的读数方法(重难点)。</w:t>
      </w:r>
      <w:r>
        <w:rPr>
          <w:rFonts w:ascii="Times New Roman" w:hAnsi="Times New Roman"/>
        </w:rPr>
        <w:t>2.</w:t>
      </w:r>
      <w:r>
        <w:rPr>
          <w:rFonts w:ascii="Times New Roman" w:hAnsi="Times New Roman" w:eastAsia="新宋体"/>
        </w:rPr>
        <w:t>掌握电流表、电压表的读数方法(重点)。</w:t>
      </w:r>
    </w:p>
    <w:p w14:paraId="595E6F37">
      <w:pPr>
        <w:tabs>
          <w:tab w:val="left" w:pos="2127"/>
          <w:tab w:val="left" w:pos="4395"/>
          <w:tab w:val="left" w:pos="6521"/>
        </w:tabs>
        <w:spacing w:line="360" w:lineRule="auto"/>
        <w:rPr>
          <w:rFonts w:ascii="Times New Roman" w:hAnsi="Times New Roman" w:eastAsia="微软雅黑"/>
        </w:rPr>
      </w:pPr>
      <w:r>
        <w:rPr>
          <w:rFonts w:ascii="Times New Roman" w:hAnsi="Times New Roman" w:eastAsia="微软雅黑"/>
        </w:rPr>
        <w:t>一、游标卡尺的测量原理及使用</w:t>
      </w:r>
    </w:p>
    <w:p w14:paraId="0E1AE620">
      <w:pPr>
        <w:tabs>
          <w:tab w:val="left" w:pos="2127"/>
          <w:tab w:val="left" w:pos="4395"/>
          <w:tab w:val="left" w:pos="6521"/>
        </w:tabs>
        <w:spacing w:line="360" w:lineRule="auto"/>
        <w:rPr>
          <w:rFonts w:ascii="Times New Roman" w:hAnsi="Times New Roman"/>
        </w:rPr>
      </w:pPr>
      <w:r>
        <w:rPr>
          <w:rFonts w:ascii="Times New Roman" w:hAnsi="Times New Roman"/>
          <w:w w:val="104"/>
        </w:rPr>
        <w:t>1.构造：主尺、游标尺(主尺和游标尺上分别有内、外测量爪)、游标卡尺上还有一个深度尺。(如图所示)</w:t>
      </w:r>
    </w:p>
    <w:p w14:paraId="0AB889BA">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2662555" cy="1261110"/>
            <wp:effectExtent l="0" t="0" r="4445" b="0"/>
            <wp:docPr id="1000" name="image4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 name="image476.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2662555" cy="1261110"/>
                    </a:xfrm>
                    <a:prstGeom prst="rect">
                      <a:avLst/>
                    </a:prstGeom>
                    <a:noFill/>
                    <a:ln>
                      <a:noFill/>
                    </a:ln>
                  </pic:spPr>
                </pic:pic>
              </a:graphicData>
            </a:graphic>
          </wp:inline>
        </w:drawing>
      </w:r>
    </w:p>
    <w:p w14:paraId="3BAEAACA">
      <w:pPr>
        <w:tabs>
          <w:tab w:val="left" w:pos="2127"/>
          <w:tab w:val="left" w:pos="4395"/>
          <w:tab w:val="left" w:pos="6521"/>
        </w:tabs>
        <w:spacing w:line="360" w:lineRule="auto"/>
        <w:rPr>
          <w:rFonts w:ascii="Times New Roman" w:hAnsi="Times New Roman"/>
        </w:rPr>
      </w:pPr>
      <w:r>
        <w:rPr>
          <w:rFonts w:ascii="Times New Roman" w:hAnsi="Times New Roman"/>
          <w:w w:val="104"/>
        </w:rPr>
        <w:t>2.各部件的用途</w:t>
      </w:r>
    </w:p>
    <w:p w14:paraId="30FBD894">
      <w:pPr>
        <w:tabs>
          <w:tab w:val="left" w:pos="2127"/>
          <w:tab w:val="left" w:pos="4395"/>
          <w:tab w:val="left" w:pos="6521"/>
        </w:tabs>
        <w:spacing w:line="360" w:lineRule="auto"/>
        <w:rPr>
          <w:rFonts w:ascii="Times New Roman" w:hAnsi="Times New Roman"/>
        </w:rPr>
      </w:pPr>
      <w:r>
        <w:rPr>
          <w:rFonts w:ascii="Times New Roman" w:hAnsi="Times New Roman"/>
          <w:w w:val="104"/>
        </w:rPr>
        <w:t>(1)内测量爪：用来测量槽的宽度和小圆管的内径等。</w:t>
      </w:r>
    </w:p>
    <w:p w14:paraId="1F8CC685">
      <w:pPr>
        <w:tabs>
          <w:tab w:val="left" w:pos="2127"/>
          <w:tab w:val="left" w:pos="4395"/>
          <w:tab w:val="left" w:pos="6521"/>
        </w:tabs>
        <w:spacing w:line="360" w:lineRule="auto"/>
        <w:rPr>
          <w:rFonts w:ascii="Times New Roman" w:hAnsi="Times New Roman"/>
        </w:rPr>
      </w:pPr>
      <w:r>
        <w:rPr>
          <w:rFonts w:ascii="Times New Roman" w:hAnsi="Times New Roman"/>
          <w:w w:val="104"/>
        </w:rPr>
        <w:t>(2)外测量爪：用来测量小钢球的直径、小圆管的外径、教科书的厚度等。</w:t>
      </w:r>
    </w:p>
    <w:p w14:paraId="672E0A89">
      <w:pPr>
        <w:tabs>
          <w:tab w:val="left" w:pos="2127"/>
          <w:tab w:val="left" w:pos="4395"/>
          <w:tab w:val="left" w:pos="6521"/>
        </w:tabs>
        <w:spacing w:line="360" w:lineRule="auto"/>
        <w:rPr>
          <w:rFonts w:ascii="Times New Roman" w:hAnsi="Times New Roman"/>
        </w:rPr>
      </w:pPr>
      <w:r>
        <w:rPr>
          <w:rFonts w:ascii="Times New Roman" w:hAnsi="Times New Roman"/>
          <w:w w:val="104"/>
        </w:rPr>
        <w:t>(3)深度尺：固定在游标尺上，用来测量槽、孔和筒的深度。</w:t>
      </w:r>
    </w:p>
    <w:p w14:paraId="59C12408">
      <w:pPr>
        <w:tabs>
          <w:tab w:val="left" w:pos="2127"/>
          <w:tab w:val="left" w:pos="4395"/>
          <w:tab w:val="left" w:pos="6521"/>
        </w:tabs>
        <w:spacing w:line="360" w:lineRule="auto"/>
        <w:rPr>
          <w:rFonts w:ascii="Times New Roman" w:hAnsi="Times New Roman"/>
        </w:rPr>
      </w:pPr>
      <w:r>
        <w:rPr>
          <w:rFonts w:ascii="Times New Roman" w:hAnsi="Times New Roman"/>
          <w:w w:val="104"/>
        </w:rPr>
        <w:t>(4)紧固螺钉：读数时，为了防止游标尺移动，旋紧紧固螺钉可使游标尺固定在主尺上。</w:t>
      </w:r>
    </w:p>
    <w:p w14:paraId="3CF2CB16">
      <w:pPr>
        <w:tabs>
          <w:tab w:val="left" w:pos="2127"/>
          <w:tab w:val="left" w:pos="4395"/>
          <w:tab w:val="left" w:pos="6521"/>
        </w:tabs>
        <w:spacing w:line="360" w:lineRule="auto"/>
        <w:rPr>
          <w:rFonts w:ascii="Times New Roman" w:hAnsi="Times New Roman"/>
        </w:rPr>
      </w:pPr>
      <w:r>
        <w:rPr>
          <w:rFonts w:ascii="Times New Roman" w:hAnsi="Times New Roman"/>
          <w:w w:val="104"/>
        </w:rPr>
        <w:t>3.游标卡尺的原理</w:t>
      </w:r>
    </w:p>
    <w:p w14:paraId="6FD35535">
      <w:pPr>
        <w:tabs>
          <w:tab w:val="left" w:pos="2127"/>
          <w:tab w:val="left" w:pos="4395"/>
          <w:tab w:val="left" w:pos="6521"/>
        </w:tabs>
        <w:spacing w:line="360" w:lineRule="auto"/>
        <w:rPr>
          <w:rFonts w:ascii="Times New Roman" w:hAnsi="Times New Roman"/>
        </w:rPr>
      </w:pPr>
      <w:r>
        <w:rPr>
          <w:rFonts w:ascii="Times New Roman" w:hAnsi="Times New Roman"/>
          <w:w w:val="104"/>
        </w:rPr>
        <w:t>利用主尺的单位刻度与游标尺的单位刻度之间固定的微量差值来提高测量精度。无论游标尺上有多少个小等分刻度，它的刻度部分的总长度比主尺上的同样多的小等分刻度少1 mm，常见的游标卡尺有10分度、20分度、50分度三种。</w:t>
      </w:r>
    </w:p>
    <w:p w14:paraId="1522C862">
      <w:pPr>
        <w:tabs>
          <w:tab w:val="left" w:pos="2127"/>
          <w:tab w:val="left" w:pos="4395"/>
          <w:tab w:val="left" w:pos="6521"/>
        </w:tabs>
        <w:spacing w:line="360" w:lineRule="auto"/>
        <w:rPr>
          <w:rFonts w:ascii="Times New Roman" w:hAnsi="Times New Roman"/>
          <w:w w:val="104"/>
        </w:rPr>
      </w:pPr>
      <w:r>
        <w:rPr>
          <w:rFonts w:ascii="Times New Roman" w:hAnsi="Times New Roman"/>
          <w:w w:val="104"/>
        </w:rPr>
        <w:t>其规格见下表：</w:t>
      </w:r>
    </w:p>
    <w:tbl>
      <w:tblPr>
        <w:tblStyle w:val="8"/>
        <w:tblW w:w="0" w:type="auto"/>
        <w:jc w:val="center"/>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autofit"/>
        <w:tblCellMar>
          <w:top w:w="0" w:type="dxa"/>
          <w:left w:w="108" w:type="dxa"/>
          <w:bottom w:w="0" w:type="dxa"/>
          <w:right w:w="108" w:type="dxa"/>
        </w:tblCellMar>
      </w:tblPr>
      <w:tblGrid>
        <w:gridCol w:w="1749"/>
        <w:gridCol w:w="1315"/>
        <w:gridCol w:w="3800"/>
        <w:gridCol w:w="2338"/>
      </w:tblGrid>
      <w:tr w14:paraId="792B733E">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108" w:type="dxa"/>
            <w:bottom w:w="0" w:type="dxa"/>
            <w:right w:w="108" w:type="dxa"/>
          </w:tblCellMar>
        </w:tblPrEx>
        <w:trPr>
          <w:trHeight w:val="834" w:hRule="atLeast"/>
          <w:jc w:val="center"/>
        </w:trPr>
        <w:tc>
          <w:tcPr>
            <w:tcW w:w="1749" w:type="dxa"/>
            <w:tcBorders>
              <w:top w:val="single" w:color="000000" w:sz="2" w:space="0"/>
              <w:left w:val="single" w:color="000000" w:sz="2" w:space="0"/>
              <w:bottom w:val="single" w:color="000000" w:sz="2" w:space="0"/>
              <w:right w:val="single" w:color="000000" w:sz="2" w:space="0"/>
            </w:tcBorders>
            <w:tcMar>
              <w:top w:w="23" w:type="dxa"/>
              <w:left w:w="23" w:type="dxa"/>
              <w:bottom w:w="23" w:type="dxa"/>
              <w:right w:w="23" w:type="dxa"/>
            </w:tcMar>
            <w:vAlign w:val="center"/>
          </w:tcPr>
          <w:p w14:paraId="46170134">
            <w:pPr>
              <w:tabs>
                <w:tab w:val="left" w:pos="2127"/>
                <w:tab w:val="left" w:pos="4395"/>
                <w:tab w:val="left" w:pos="6521"/>
              </w:tabs>
              <w:spacing w:line="360" w:lineRule="auto"/>
              <w:jc w:val="center"/>
              <w:rPr>
                <w:rFonts w:ascii="Times New Roman" w:hAnsi="Times New Roman"/>
              </w:rPr>
            </w:pPr>
            <w:r>
              <w:rPr>
                <w:rFonts w:ascii="Times New Roman" w:hAnsi="Times New Roman"/>
              </w:rPr>
              <w:t>刻度格数(分度)</w:t>
            </w:r>
          </w:p>
        </w:tc>
        <w:tc>
          <w:tcPr>
            <w:tcW w:w="1315" w:type="dxa"/>
            <w:tcBorders>
              <w:top w:val="single" w:color="000000" w:sz="2" w:space="0"/>
              <w:left w:val="single" w:color="000000" w:sz="2" w:space="0"/>
              <w:bottom w:val="single" w:color="000000" w:sz="2" w:space="0"/>
              <w:right w:val="single" w:color="000000" w:sz="2" w:space="0"/>
            </w:tcBorders>
            <w:tcMar>
              <w:top w:w="23" w:type="dxa"/>
              <w:left w:w="23" w:type="dxa"/>
              <w:bottom w:w="23" w:type="dxa"/>
              <w:right w:w="23" w:type="dxa"/>
            </w:tcMar>
            <w:vAlign w:val="center"/>
          </w:tcPr>
          <w:p w14:paraId="502C447D">
            <w:pPr>
              <w:tabs>
                <w:tab w:val="left" w:pos="2127"/>
                <w:tab w:val="left" w:pos="4395"/>
                <w:tab w:val="left" w:pos="6521"/>
              </w:tabs>
              <w:spacing w:line="360" w:lineRule="auto"/>
              <w:jc w:val="center"/>
              <w:rPr>
                <w:rFonts w:ascii="Times New Roman" w:hAnsi="Times New Roman"/>
              </w:rPr>
            </w:pPr>
            <w:r>
              <w:rPr>
                <w:rFonts w:ascii="Times New Roman" w:hAnsi="Times New Roman"/>
              </w:rPr>
              <w:t>刻度总长度</w:t>
            </w:r>
          </w:p>
        </w:tc>
        <w:tc>
          <w:tcPr>
            <w:tcW w:w="3800" w:type="dxa"/>
            <w:tcBorders>
              <w:top w:val="single" w:color="000000" w:sz="2" w:space="0"/>
              <w:left w:val="single" w:color="000000" w:sz="2" w:space="0"/>
              <w:bottom w:val="single" w:color="000000" w:sz="2" w:space="0"/>
              <w:right w:val="single" w:color="000000" w:sz="2" w:space="0"/>
            </w:tcBorders>
            <w:tcMar>
              <w:top w:w="23" w:type="dxa"/>
              <w:left w:w="23" w:type="dxa"/>
              <w:bottom w:w="23" w:type="dxa"/>
              <w:right w:w="23" w:type="dxa"/>
            </w:tcMar>
            <w:vAlign w:val="center"/>
          </w:tcPr>
          <w:p w14:paraId="7D342EE7">
            <w:pPr>
              <w:tabs>
                <w:tab w:val="left" w:pos="2127"/>
                <w:tab w:val="left" w:pos="4395"/>
                <w:tab w:val="left" w:pos="6521"/>
              </w:tabs>
              <w:spacing w:line="360" w:lineRule="auto"/>
              <w:jc w:val="center"/>
              <w:rPr>
                <w:rFonts w:ascii="Times New Roman" w:hAnsi="Times New Roman"/>
              </w:rPr>
            </w:pPr>
            <w:r>
              <w:rPr>
                <w:rFonts w:ascii="Times New Roman" w:hAnsi="Times New Roman"/>
              </w:rPr>
              <w:t>每小格与主尺最小刻度(1 mm)的差值</w:t>
            </w:r>
          </w:p>
        </w:tc>
        <w:tc>
          <w:tcPr>
            <w:tcW w:w="2338" w:type="dxa"/>
            <w:tcBorders>
              <w:top w:val="single" w:color="000000" w:sz="2" w:space="0"/>
              <w:left w:val="single" w:color="000000" w:sz="2" w:space="0"/>
              <w:bottom w:val="single" w:color="000000" w:sz="2" w:space="0"/>
              <w:right w:val="single" w:color="000000" w:sz="2" w:space="0"/>
            </w:tcBorders>
            <w:tcMar>
              <w:top w:w="23" w:type="dxa"/>
              <w:left w:w="23" w:type="dxa"/>
              <w:bottom w:w="23" w:type="dxa"/>
              <w:right w:w="23" w:type="dxa"/>
            </w:tcMar>
            <w:vAlign w:val="center"/>
          </w:tcPr>
          <w:p w14:paraId="6A225505">
            <w:pPr>
              <w:tabs>
                <w:tab w:val="left" w:pos="2127"/>
                <w:tab w:val="left" w:pos="4395"/>
                <w:tab w:val="left" w:pos="6521"/>
              </w:tabs>
              <w:spacing w:line="360" w:lineRule="auto"/>
              <w:jc w:val="center"/>
              <w:rPr>
                <w:rFonts w:ascii="Times New Roman" w:hAnsi="Times New Roman"/>
              </w:rPr>
            </w:pPr>
            <w:r>
              <w:rPr>
                <w:rFonts w:ascii="Times New Roman" w:hAnsi="Times New Roman"/>
              </w:rPr>
              <w:t>精确度(可精确到)</w:t>
            </w:r>
          </w:p>
        </w:tc>
      </w:tr>
      <w:tr w14:paraId="41012D48">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108" w:type="dxa"/>
            <w:bottom w:w="0" w:type="dxa"/>
            <w:right w:w="108" w:type="dxa"/>
          </w:tblCellMar>
        </w:tblPrEx>
        <w:trPr>
          <w:trHeight w:val="169" w:hRule="atLeast"/>
          <w:jc w:val="center"/>
        </w:trPr>
        <w:tc>
          <w:tcPr>
            <w:tcW w:w="1749" w:type="dxa"/>
            <w:tcBorders>
              <w:top w:val="single" w:color="000000" w:sz="2" w:space="0"/>
              <w:left w:val="single" w:color="000000" w:sz="2" w:space="0"/>
              <w:bottom w:val="single" w:color="000000" w:sz="2" w:space="0"/>
              <w:right w:val="single" w:color="000000" w:sz="2" w:space="0"/>
            </w:tcBorders>
            <w:tcMar>
              <w:top w:w="23" w:type="dxa"/>
              <w:left w:w="23" w:type="dxa"/>
              <w:bottom w:w="23" w:type="dxa"/>
              <w:right w:w="23" w:type="dxa"/>
            </w:tcMar>
            <w:vAlign w:val="center"/>
          </w:tcPr>
          <w:p w14:paraId="304CF9E4">
            <w:pPr>
              <w:tabs>
                <w:tab w:val="left" w:pos="2127"/>
                <w:tab w:val="left" w:pos="4395"/>
                <w:tab w:val="left" w:pos="6521"/>
              </w:tabs>
              <w:spacing w:line="360" w:lineRule="auto"/>
              <w:jc w:val="center"/>
              <w:rPr>
                <w:rFonts w:ascii="Times New Roman" w:hAnsi="Times New Roman"/>
              </w:rPr>
            </w:pPr>
            <w:r>
              <w:rPr>
                <w:rFonts w:ascii="Times New Roman" w:hAnsi="Times New Roman"/>
              </w:rPr>
              <w:t>10</w:t>
            </w:r>
          </w:p>
        </w:tc>
        <w:tc>
          <w:tcPr>
            <w:tcW w:w="1315" w:type="dxa"/>
            <w:tcBorders>
              <w:top w:val="single" w:color="000000" w:sz="2" w:space="0"/>
              <w:left w:val="single" w:color="000000" w:sz="2" w:space="0"/>
              <w:bottom w:val="single" w:color="000000" w:sz="2" w:space="0"/>
              <w:right w:val="single" w:color="000000" w:sz="2" w:space="0"/>
            </w:tcBorders>
            <w:tcMar>
              <w:top w:w="23" w:type="dxa"/>
              <w:left w:w="23" w:type="dxa"/>
              <w:bottom w:w="23" w:type="dxa"/>
              <w:right w:w="23" w:type="dxa"/>
            </w:tcMar>
            <w:vAlign w:val="center"/>
          </w:tcPr>
          <w:p w14:paraId="6FB27920">
            <w:pPr>
              <w:tabs>
                <w:tab w:val="left" w:pos="2127"/>
                <w:tab w:val="left" w:pos="4395"/>
                <w:tab w:val="left" w:pos="6521"/>
              </w:tabs>
              <w:spacing w:line="360" w:lineRule="auto"/>
              <w:jc w:val="center"/>
              <w:rPr>
                <w:rFonts w:ascii="Times New Roman" w:hAnsi="Times New Roman"/>
              </w:rPr>
            </w:pPr>
            <w:r>
              <w:rPr>
                <w:rFonts w:ascii="Times New Roman" w:hAnsi="Times New Roman"/>
              </w:rPr>
              <w:t>9 mm</w:t>
            </w:r>
          </w:p>
        </w:tc>
        <w:tc>
          <w:tcPr>
            <w:tcW w:w="3800" w:type="dxa"/>
            <w:tcBorders>
              <w:top w:val="single" w:color="000000" w:sz="2" w:space="0"/>
              <w:left w:val="single" w:color="000000" w:sz="2" w:space="0"/>
              <w:bottom w:val="single" w:color="000000" w:sz="2" w:space="0"/>
              <w:right w:val="single" w:color="000000" w:sz="2" w:space="0"/>
            </w:tcBorders>
            <w:tcMar>
              <w:top w:w="23" w:type="dxa"/>
              <w:left w:w="23" w:type="dxa"/>
              <w:bottom w:w="23" w:type="dxa"/>
              <w:right w:w="23" w:type="dxa"/>
            </w:tcMar>
            <w:vAlign w:val="center"/>
          </w:tcPr>
          <w:p w14:paraId="4DC40AAF">
            <w:pPr>
              <w:tabs>
                <w:tab w:val="left" w:pos="2127"/>
                <w:tab w:val="left" w:pos="4395"/>
                <w:tab w:val="left" w:pos="6521"/>
              </w:tabs>
              <w:spacing w:line="360" w:lineRule="auto"/>
              <w:jc w:val="center"/>
              <w:rPr>
                <w:rFonts w:ascii="Times New Roman" w:hAnsi="Times New Roman"/>
              </w:rPr>
            </w:pPr>
            <w:r>
              <w:rPr>
                <w:rFonts w:ascii="Times New Roman" w:hAnsi="Times New Roman"/>
              </w:rPr>
              <w:t>0.1 mm</w:t>
            </w:r>
          </w:p>
        </w:tc>
        <w:tc>
          <w:tcPr>
            <w:tcW w:w="2338" w:type="dxa"/>
            <w:tcBorders>
              <w:top w:val="single" w:color="000000" w:sz="2" w:space="0"/>
              <w:left w:val="single" w:color="000000" w:sz="2" w:space="0"/>
              <w:bottom w:val="single" w:color="000000" w:sz="2" w:space="0"/>
              <w:right w:val="single" w:color="000000" w:sz="2" w:space="0"/>
            </w:tcBorders>
            <w:tcMar>
              <w:top w:w="23" w:type="dxa"/>
              <w:left w:w="23" w:type="dxa"/>
              <w:bottom w:w="23" w:type="dxa"/>
              <w:right w:w="23" w:type="dxa"/>
            </w:tcMar>
            <w:vAlign w:val="center"/>
          </w:tcPr>
          <w:p w14:paraId="10C5B484">
            <w:pPr>
              <w:tabs>
                <w:tab w:val="left" w:pos="2127"/>
                <w:tab w:val="left" w:pos="4395"/>
                <w:tab w:val="left" w:pos="6521"/>
              </w:tabs>
              <w:spacing w:line="360" w:lineRule="auto"/>
              <w:jc w:val="center"/>
              <w:rPr>
                <w:rFonts w:ascii="Times New Roman" w:hAnsi="Times New Roman"/>
              </w:rPr>
            </w:pPr>
            <w:r>
              <w:rPr>
                <w:rFonts w:ascii="Times New Roman" w:hAnsi="Times New Roman"/>
                <w:u w:val="single"/>
              </w:rPr>
              <w:t>　　　</w:t>
            </w:r>
            <w:r>
              <w:rPr>
                <w:rFonts w:ascii="Times New Roman" w:hAnsi="Times New Roman"/>
              </w:rPr>
              <w:t xml:space="preserve"> mm </w:t>
            </w:r>
          </w:p>
        </w:tc>
      </w:tr>
      <w:tr w14:paraId="1049D792">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108" w:type="dxa"/>
            <w:bottom w:w="0" w:type="dxa"/>
            <w:right w:w="108" w:type="dxa"/>
          </w:tblCellMar>
        </w:tblPrEx>
        <w:trPr>
          <w:trHeight w:val="169" w:hRule="atLeast"/>
          <w:jc w:val="center"/>
        </w:trPr>
        <w:tc>
          <w:tcPr>
            <w:tcW w:w="1749" w:type="dxa"/>
            <w:tcBorders>
              <w:top w:val="single" w:color="000000" w:sz="2" w:space="0"/>
              <w:left w:val="single" w:color="000000" w:sz="2" w:space="0"/>
              <w:bottom w:val="single" w:color="000000" w:sz="2" w:space="0"/>
              <w:right w:val="single" w:color="000000" w:sz="2" w:space="0"/>
            </w:tcBorders>
            <w:tcMar>
              <w:top w:w="23" w:type="dxa"/>
              <w:left w:w="23" w:type="dxa"/>
              <w:bottom w:w="23" w:type="dxa"/>
              <w:right w:w="23" w:type="dxa"/>
            </w:tcMar>
            <w:vAlign w:val="center"/>
          </w:tcPr>
          <w:p w14:paraId="34745768">
            <w:pPr>
              <w:tabs>
                <w:tab w:val="left" w:pos="2127"/>
                <w:tab w:val="left" w:pos="4395"/>
                <w:tab w:val="left" w:pos="6521"/>
              </w:tabs>
              <w:spacing w:line="360" w:lineRule="auto"/>
              <w:jc w:val="center"/>
              <w:rPr>
                <w:rFonts w:ascii="Times New Roman" w:hAnsi="Times New Roman"/>
              </w:rPr>
            </w:pPr>
            <w:r>
              <w:rPr>
                <w:rFonts w:ascii="Times New Roman" w:hAnsi="Times New Roman"/>
              </w:rPr>
              <w:t>20</w:t>
            </w:r>
          </w:p>
        </w:tc>
        <w:tc>
          <w:tcPr>
            <w:tcW w:w="1315" w:type="dxa"/>
            <w:tcBorders>
              <w:top w:val="single" w:color="000000" w:sz="2" w:space="0"/>
              <w:left w:val="single" w:color="000000" w:sz="2" w:space="0"/>
              <w:bottom w:val="single" w:color="000000" w:sz="2" w:space="0"/>
              <w:right w:val="single" w:color="000000" w:sz="2" w:space="0"/>
            </w:tcBorders>
            <w:tcMar>
              <w:top w:w="23" w:type="dxa"/>
              <w:left w:w="23" w:type="dxa"/>
              <w:bottom w:w="23" w:type="dxa"/>
              <w:right w:w="23" w:type="dxa"/>
            </w:tcMar>
            <w:vAlign w:val="center"/>
          </w:tcPr>
          <w:p w14:paraId="070F3905">
            <w:pPr>
              <w:tabs>
                <w:tab w:val="left" w:pos="2127"/>
                <w:tab w:val="left" w:pos="4395"/>
                <w:tab w:val="left" w:pos="6521"/>
              </w:tabs>
              <w:spacing w:line="360" w:lineRule="auto"/>
              <w:jc w:val="center"/>
              <w:rPr>
                <w:rFonts w:ascii="Times New Roman" w:hAnsi="Times New Roman"/>
              </w:rPr>
            </w:pPr>
            <w:r>
              <w:rPr>
                <w:rFonts w:ascii="Times New Roman" w:hAnsi="Times New Roman"/>
              </w:rPr>
              <w:t>19 mm</w:t>
            </w:r>
          </w:p>
        </w:tc>
        <w:tc>
          <w:tcPr>
            <w:tcW w:w="3800" w:type="dxa"/>
            <w:tcBorders>
              <w:top w:val="single" w:color="000000" w:sz="2" w:space="0"/>
              <w:left w:val="single" w:color="000000" w:sz="2" w:space="0"/>
              <w:bottom w:val="single" w:color="000000" w:sz="2" w:space="0"/>
              <w:right w:val="single" w:color="000000" w:sz="2" w:space="0"/>
            </w:tcBorders>
            <w:tcMar>
              <w:top w:w="23" w:type="dxa"/>
              <w:left w:w="23" w:type="dxa"/>
              <w:bottom w:w="23" w:type="dxa"/>
              <w:right w:w="23" w:type="dxa"/>
            </w:tcMar>
            <w:vAlign w:val="center"/>
          </w:tcPr>
          <w:p w14:paraId="7ACB6078">
            <w:pPr>
              <w:tabs>
                <w:tab w:val="left" w:pos="2127"/>
                <w:tab w:val="left" w:pos="4395"/>
                <w:tab w:val="left" w:pos="6521"/>
              </w:tabs>
              <w:spacing w:line="360" w:lineRule="auto"/>
              <w:jc w:val="center"/>
              <w:rPr>
                <w:rFonts w:ascii="Times New Roman" w:hAnsi="Times New Roman"/>
              </w:rPr>
            </w:pPr>
            <w:r>
              <w:rPr>
                <w:rFonts w:ascii="Times New Roman" w:hAnsi="Times New Roman"/>
              </w:rPr>
              <w:t>0.05 mm</w:t>
            </w:r>
          </w:p>
        </w:tc>
        <w:tc>
          <w:tcPr>
            <w:tcW w:w="2338" w:type="dxa"/>
            <w:tcBorders>
              <w:top w:val="single" w:color="000000" w:sz="2" w:space="0"/>
              <w:left w:val="single" w:color="000000" w:sz="2" w:space="0"/>
              <w:bottom w:val="single" w:color="000000" w:sz="2" w:space="0"/>
              <w:right w:val="single" w:color="000000" w:sz="2" w:space="0"/>
            </w:tcBorders>
            <w:tcMar>
              <w:top w:w="23" w:type="dxa"/>
              <w:left w:w="23" w:type="dxa"/>
              <w:bottom w:w="23" w:type="dxa"/>
              <w:right w:w="23" w:type="dxa"/>
            </w:tcMar>
            <w:vAlign w:val="center"/>
          </w:tcPr>
          <w:p w14:paraId="6D9C54F2">
            <w:pPr>
              <w:tabs>
                <w:tab w:val="left" w:pos="2127"/>
                <w:tab w:val="left" w:pos="4395"/>
                <w:tab w:val="left" w:pos="6521"/>
              </w:tabs>
              <w:spacing w:line="360" w:lineRule="auto"/>
              <w:jc w:val="center"/>
              <w:rPr>
                <w:rFonts w:ascii="Times New Roman" w:hAnsi="Times New Roman"/>
              </w:rPr>
            </w:pPr>
            <w:r>
              <w:rPr>
                <w:rFonts w:ascii="Times New Roman" w:hAnsi="Times New Roman"/>
                <w:u w:val="single"/>
              </w:rPr>
              <w:t>　　　</w:t>
            </w:r>
            <w:r>
              <w:rPr>
                <w:rFonts w:ascii="Times New Roman" w:hAnsi="Times New Roman"/>
              </w:rPr>
              <w:t xml:space="preserve"> mm </w:t>
            </w:r>
          </w:p>
        </w:tc>
      </w:tr>
      <w:tr w14:paraId="11995796">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108" w:type="dxa"/>
            <w:bottom w:w="0" w:type="dxa"/>
            <w:right w:w="108" w:type="dxa"/>
          </w:tblCellMar>
        </w:tblPrEx>
        <w:trPr>
          <w:trHeight w:val="169" w:hRule="atLeast"/>
          <w:jc w:val="center"/>
        </w:trPr>
        <w:tc>
          <w:tcPr>
            <w:tcW w:w="1749" w:type="dxa"/>
            <w:tcBorders>
              <w:top w:val="single" w:color="000000" w:sz="2" w:space="0"/>
              <w:left w:val="single" w:color="000000" w:sz="2" w:space="0"/>
              <w:bottom w:val="single" w:color="000000" w:sz="2" w:space="0"/>
              <w:right w:val="single" w:color="000000" w:sz="2" w:space="0"/>
            </w:tcBorders>
            <w:tcMar>
              <w:top w:w="23" w:type="dxa"/>
              <w:left w:w="23" w:type="dxa"/>
              <w:bottom w:w="23" w:type="dxa"/>
              <w:right w:w="23" w:type="dxa"/>
            </w:tcMar>
            <w:vAlign w:val="center"/>
          </w:tcPr>
          <w:p w14:paraId="385B4F49">
            <w:pPr>
              <w:tabs>
                <w:tab w:val="left" w:pos="2127"/>
                <w:tab w:val="left" w:pos="4395"/>
                <w:tab w:val="left" w:pos="6521"/>
              </w:tabs>
              <w:spacing w:line="360" w:lineRule="auto"/>
              <w:jc w:val="center"/>
              <w:rPr>
                <w:rFonts w:ascii="Times New Roman" w:hAnsi="Times New Roman"/>
              </w:rPr>
            </w:pPr>
            <w:r>
              <w:rPr>
                <w:rFonts w:ascii="Times New Roman" w:hAnsi="Times New Roman"/>
              </w:rPr>
              <w:t>50</w:t>
            </w:r>
          </w:p>
        </w:tc>
        <w:tc>
          <w:tcPr>
            <w:tcW w:w="1315" w:type="dxa"/>
            <w:tcBorders>
              <w:top w:val="single" w:color="000000" w:sz="2" w:space="0"/>
              <w:left w:val="single" w:color="000000" w:sz="2" w:space="0"/>
              <w:bottom w:val="single" w:color="000000" w:sz="2" w:space="0"/>
              <w:right w:val="single" w:color="000000" w:sz="2" w:space="0"/>
            </w:tcBorders>
            <w:tcMar>
              <w:top w:w="23" w:type="dxa"/>
              <w:left w:w="23" w:type="dxa"/>
              <w:bottom w:w="23" w:type="dxa"/>
              <w:right w:w="23" w:type="dxa"/>
            </w:tcMar>
            <w:vAlign w:val="center"/>
          </w:tcPr>
          <w:p w14:paraId="53EB0B7A">
            <w:pPr>
              <w:tabs>
                <w:tab w:val="left" w:pos="2127"/>
                <w:tab w:val="left" w:pos="4395"/>
                <w:tab w:val="left" w:pos="6521"/>
              </w:tabs>
              <w:spacing w:line="360" w:lineRule="auto"/>
              <w:jc w:val="center"/>
              <w:rPr>
                <w:rFonts w:ascii="Times New Roman" w:hAnsi="Times New Roman"/>
              </w:rPr>
            </w:pPr>
            <w:r>
              <w:rPr>
                <w:rFonts w:ascii="Times New Roman" w:hAnsi="Times New Roman"/>
              </w:rPr>
              <w:t>49 mm</w:t>
            </w:r>
          </w:p>
        </w:tc>
        <w:tc>
          <w:tcPr>
            <w:tcW w:w="3800" w:type="dxa"/>
            <w:tcBorders>
              <w:top w:val="single" w:color="000000" w:sz="2" w:space="0"/>
              <w:left w:val="single" w:color="000000" w:sz="2" w:space="0"/>
              <w:bottom w:val="single" w:color="000000" w:sz="2" w:space="0"/>
              <w:right w:val="single" w:color="000000" w:sz="2" w:space="0"/>
            </w:tcBorders>
            <w:tcMar>
              <w:top w:w="23" w:type="dxa"/>
              <w:left w:w="23" w:type="dxa"/>
              <w:bottom w:w="23" w:type="dxa"/>
              <w:right w:w="23" w:type="dxa"/>
            </w:tcMar>
            <w:vAlign w:val="center"/>
          </w:tcPr>
          <w:p w14:paraId="7D21F72B">
            <w:pPr>
              <w:tabs>
                <w:tab w:val="left" w:pos="2127"/>
                <w:tab w:val="left" w:pos="4395"/>
                <w:tab w:val="left" w:pos="6521"/>
              </w:tabs>
              <w:spacing w:line="360" w:lineRule="auto"/>
              <w:jc w:val="center"/>
              <w:rPr>
                <w:rFonts w:ascii="Times New Roman" w:hAnsi="Times New Roman"/>
              </w:rPr>
            </w:pPr>
            <w:r>
              <w:rPr>
                <w:rFonts w:ascii="Times New Roman" w:hAnsi="Times New Roman"/>
              </w:rPr>
              <w:t>0.02 mm</w:t>
            </w:r>
          </w:p>
        </w:tc>
        <w:tc>
          <w:tcPr>
            <w:tcW w:w="2338" w:type="dxa"/>
            <w:tcBorders>
              <w:top w:val="single" w:color="000000" w:sz="2" w:space="0"/>
              <w:left w:val="single" w:color="000000" w:sz="2" w:space="0"/>
              <w:bottom w:val="single" w:color="000000" w:sz="2" w:space="0"/>
              <w:right w:val="single" w:color="000000" w:sz="2" w:space="0"/>
            </w:tcBorders>
            <w:tcMar>
              <w:top w:w="23" w:type="dxa"/>
              <w:left w:w="23" w:type="dxa"/>
              <w:bottom w:w="23" w:type="dxa"/>
              <w:right w:w="23" w:type="dxa"/>
            </w:tcMar>
            <w:vAlign w:val="center"/>
          </w:tcPr>
          <w:p w14:paraId="79D2B6B1">
            <w:pPr>
              <w:tabs>
                <w:tab w:val="left" w:pos="2127"/>
                <w:tab w:val="left" w:pos="4395"/>
                <w:tab w:val="left" w:pos="6521"/>
              </w:tabs>
              <w:spacing w:line="360" w:lineRule="auto"/>
              <w:jc w:val="center"/>
              <w:rPr>
                <w:rFonts w:ascii="Times New Roman" w:hAnsi="Times New Roman"/>
              </w:rPr>
            </w:pPr>
            <w:r>
              <w:rPr>
                <w:rFonts w:ascii="Times New Roman" w:hAnsi="Times New Roman"/>
                <w:u w:val="single"/>
              </w:rPr>
              <w:t>　　　</w:t>
            </w:r>
            <w:r>
              <w:rPr>
                <w:rFonts w:ascii="Times New Roman" w:hAnsi="Times New Roman"/>
              </w:rPr>
              <w:t xml:space="preserve"> mm </w:t>
            </w:r>
          </w:p>
        </w:tc>
      </w:tr>
    </w:tbl>
    <w:p w14:paraId="6498D35C">
      <w:pPr>
        <w:tabs>
          <w:tab w:val="left" w:pos="2127"/>
          <w:tab w:val="left" w:pos="4395"/>
          <w:tab w:val="left" w:pos="6521"/>
        </w:tabs>
        <w:spacing w:line="360" w:lineRule="auto"/>
        <w:rPr>
          <w:rFonts w:ascii="Times New Roman" w:hAnsi="Times New Roman"/>
          <w:w w:val="104"/>
        </w:rPr>
      </w:pPr>
    </w:p>
    <w:p w14:paraId="6EFEC94D">
      <w:pPr>
        <w:tabs>
          <w:tab w:val="left" w:pos="2127"/>
          <w:tab w:val="left" w:pos="4395"/>
          <w:tab w:val="left" w:pos="6521"/>
        </w:tabs>
        <w:spacing w:line="360" w:lineRule="auto"/>
        <w:rPr>
          <w:rFonts w:ascii="Times New Roman" w:hAnsi="Times New Roman"/>
        </w:rPr>
      </w:pPr>
      <w:r>
        <w:rPr>
          <w:rFonts w:ascii="Times New Roman" w:hAnsi="Times New Roman"/>
          <w:w w:val="104"/>
        </w:rPr>
        <w:t>4.读数方法：先读主尺上的刻度，当游标尺上第</w:t>
      </w:r>
      <w:r>
        <w:rPr>
          <w:rFonts w:ascii="Times New Roman" w:hAnsi="Times New Roman"/>
          <w:i/>
          <w:w w:val="104"/>
        </w:rPr>
        <w:t>N</w:t>
      </w:r>
      <w:r>
        <w:rPr>
          <w:rFonts w:ascii="Times New Roman" w:hAnsi="Times New Roman"/>
          <w:w w:val="104"/>
        </w:rPr>
        <w:t>条刻度线与主尺上某一刻度线对齐时，则：</w:t>
      </w:r>
    </w:p>
    <w:p w14:paraId="12232CAD">
      <w:pPr>
        <w:tabs>
          <w:tab w:val="left" w:pos="2127"/>
          <w:tab w:val="left" w:pos="4395"/>
          <w:tab w:val="left" w:pos="6521"/>
        </w:tabs>
        <w:spacing w:line="360" w:lineRule="auto"/>
        <w:rPr>
          <w:rFonts w:ascii="Times New Roman" w:hAnsi="Times New Roman"/>
        </w:rPr>
      </w:pPr>
      <w:r>
        <w:rPr>
          <w:rFonts w:ascii="Times New Roman" w:hAnsi="Times New Roman"/>
          <w:w w:val="104"/>
        </w:rPr>
        <w:t>10分度：测量值=主尺整毫米数+</w:t>
      </w:r>
      <w:r>
        <w:rPr>
          <w:rFonts w:ascii="Times New Roman" w:hAnsi="Times New Roman"/>
          <w:i/>
          <w:w w:val="104"/>
        </w:rPr>
        <w:t>N</w:t>
      </w:r>
      <w:r>
        <w:rPr>
          <w:rFonts w:ascii="宋体" w:hAnsi="宋体"/>
          <w:w w:val="104"/>
        </w:rPr>
        <w:t>×</w:t>
      </w:r>
      <m:oMath>
        <m:f>
          <m:fPr>
            <m:ctrlPr>
              <w:rPr>
                <w:rFonts w:ascii="Cambria Math" w:hAnsi="Cambria Math"/>
              </w:rPr>
            </m:ctrlPr>
          </m:fPr>
          <m:num>
            <m:r>
              <m:rPr>
                <m:sty m:val="p"/>
              </m:rPr>
              <w:rPr>
                <w:rFonts w:ascii="Cambria Math" w:hAnsi="Cambria Math"/>
              </w:rPr>
              <m:t>1</m:t>
            </m:r>
            <m:ctrlPr>
              <w:rPr>
                <w:rFonts w:ascii="Cambria Math" w:hAnsi="Cambria Math"/>
              </w:rPr>
            </m:ctrlPr>
          </m:num>
          <m:den>
            <m:r>
              <m:rPr>
                <m:sty m:val="p"/>
              </m:rPr>
              <w:rPr>
                <w:rFonts w:ascii="Cambria Math" w:hAnsi="Cambria Math"/>
              </w:rPr>
              <m:t>10</m:t>
            </m:r>
            <m:ctrlPr>
              <w:rPr>
                <w:rFonts w:ascii="Cambria Math" w:hAnsi="Cambria Math"/>
              </w:rPr>
            </m:ctrlPr>
          </m:den>
        </m:f>
      </m:oMath>
      <w:r>
        <w:rPr>
          <w:rFonts w:ascii="Times New Roman" w:hAnsi="Times New Roman"/>
          <w:w w:val="104"/>
        </w:rPr>
        <w:t xml:space="preserve"> mm</w:t>
      </w:r>
    </w:p>
    <w:p w14:paraId="0C26A0B6">
      <w:pPr>
        <w:tabs>
          <w:tab w:val="left" w:pos="2127"/>
          <w:tab w:val="left" w:pos="4395"/>
          <w:tab w:val="left" w:pos="6521"/>
        </w:tabs>
        <w:spacing w:line="360" w:lineRule="auto"/>
        <w:rPr>
          <w:rFonts w:ascii="Times New Roman" w:hAnsi="Times New Roman"/>
        </w:rPr>
      </w:pPr>
      <w:r>
        <w:rPr>
          <w:rFonts w:ascii="Times New Roman" w:hAnsi="Times New Roman"/>
          <w:w w:val="104"/>
        </w:rPr>
        <w:t>20分度：测量值=主尺整毫米数+</w:t>
      </w:r>
      <w:r>
        <w:rPr>
          <w:rFonts w:ascii="Times New Roman" w:hAnsi="Times New Roman"/>
          <w:i/>
          <w:w w:val="104"/>
        </w:rPr>
        <w:t>N</w:t>
      </w:r>
      <w:r>
        <w:rPr>
          <w:rFonts w:ascii="宋体" w:hAnsi="宋体"/>
          <w:w w:val="104"/>
        </w:rPr>
        <w:t>×</w:t>
      </w:r>
      <m:oMath>
        <m:f>
          <m:fPr>
            <m:ctrlPr>
              <w:rPr>
                <w:rFonts w:ascii="Cambria Math" w:hAnsi="Cambria Math"/>
              </w:rPr>
            </m:ctrlPr>
          </m:fPr>
          <m:num>
            <m:r>
              <m:rPr>
                <m:sty m:val="p"/>
              </m:rPr>
              <w:rPr>
                <w:rFonts w:ascii="Cambria Math" w:hAnsi="Cambria Math"/>
              </w:rPr>
              <m:t>1</m:t>
            </m:r>
            <m:ctrlPr>
              <w:rPr>
                <w:rFonts w:ascii="Cambria Math" w:hAnsi="Cambria Math"/>
              </w:rPr>
            </m:ctrlPr>
          </m:num>
          <m:den>
            <m:r>
              <m:rPr>
                <m:sty m:val="p"/>
              </m:rPr>
              <w:rPr>
                <w:rFonts w:ascii="Cambria Math" w:hAnsi="Cambria Math"/>
              </w:rPr>
              <m:t>20</m:t>
            </m:r>
            <m:ctrlPr>
              <w:rPr>
                <w:rFonts w:ascii="Cambria Math" w:hAnsi="Cambria Math"/>
              </w:rPr>
            </m:ctrlPr>
          </m:den>
        </m:f>
      </m:oMath>
      <w:r>
        <w:rPr>
          <w:rFonts w:ascii="Times New Roman" w:hAnsi="Times New Roman"/>
          <w:w w:val="104"/>
        </w:rPr>
        <w:t xml:space="preserve"> mm</w:t>
      </w:r>
    </w:p>
    <w:p w14:paraId="574FE0A8">
      <w:pPr>
        <w:tabs>
          <w:tab w:val="left" w:pos="2127"/>
          <w:tab w:val="left" w:pos="4395"/>
          <w:tab w:val="left" w:pos="6521"/>
        </w:tabs>
        <w:spacing w:line="360" w:lineRule="auto"/>
        <w:rPr>
          <w:rFonts w:ascii="Times New Roman" w:hAnsi="Times New Roman"/>
        </w:rPr>
      </w:pPr>
      <w:r>
        <w:rPr>
          <w:rFonts w:ascii="Times New Roman" w:hAnsi="Times New Roman"/>
          <w:w w:val="104"/>
        </w:rPr>
        <w:t>50分度：测量值=主尺整毫米数+</w:t>
      </w:r>
      <w:r>
        <w:rPr>
          <w:rFonts w:ascii="Times New Roman" w:hAnsi="Times New Roman"/>
          <w:i/>
          <w:w w:val="104"/>
        </w:rPr>
        <w:t>N</w:t>
      </w:r>
      <w:r>
        <w:rPr>
          <w:rFonts w:ascii="宋体" w:hAnsi="宋体"/>
          <w:w w:val="104"/>
        </w:rPr>
        <w:t>×</w:t>
      </w:r>
      <m:oMath>
        <m:f>
          <m:fPr>
            <m:ctrlPr>
              <w:rPr>
                <w:rFonts w:ascii="Cambria Math" w:hAnsi="Cambria Math"/>
              </w:rPr>
            </m:ctrlPr>
          </m:fPr>
          <m:num>
            <m:r>
              <m:rPr>
                <m:sty m:val="p"/>
              </m:rPr>
              <w:rPr>
                <w:rFonts w:ascii="Cambria Math" w:hAnsi="Cambria Math"/>
              </w:rPr>
              <m:t>1</m:t>
            </m:r>
            <m:ctrlPr>
              <w:rPr>
                <w:rFonts w:ascii="Cambria Math" w:hAnsi="Cambria Math"/>
              </w:rPr>
            </m:ctrlPr>
          </m:num>
          <m:den>
            <m:r>
              <m:rPr>
                <m:sty m:val="p"/>
              </m:rPr>
              <w:rPr>
                <w:rFonts w:ascii="Cambria Math" w:hAnsi="Cambria Math"/>
              </w:rPr>
              <m:t>50</m:t>
            </m:r>
            <m:ctrlPr>
              <w:rPr>
                <w:rFonts w:ascii="Cambria Math" w:hAnsi="Cambria Math"/>
              </w:rPr>
            </m:ctrlPr>
          </m:den>
        </m:f>
      </m:oMath>
      <w:r>
        <w:rPr>
          <w:rFonts w:ascii="Times New Roman" w:hAnsi="Times New Roman"/>
          <w:w w:val="104"/>
        </w:rPr>
        <w:t xml:space="preserve"> mm</w:t>
      </w:r>
    </w:p>
    <w:p w14:paraId="6FBE8F6F">
      <w:pPr>
        <w:tabs>
          <w:tab w:val="left" w:pos="2127"/>
          <w:tab w:val="left" w:pos="4395"/>
          <w:tab w:val="left" w:pos="6521"/>
        </w:tabs>
        <w:spacing w:line="360" w:lineRule="auto"/>
        <w:rPr>
          <w:rFonts w:ascii="Times New Roman" w:hAnsi="Times New Roman"/>
        </w:rPr>
      </w:pPr>
      <w:r>
        <w:rPr>
          <w:rFonts w:ascii="Times New Roman" w:hAnsi="Times New Roman" w:eastAsia="黑体"/>
        </w:rPr>
        <w:t>注意</w:t>
      </w:r>
      <w:r>
        <w:rPr>
          <w:rFonts w:ascii="Times New Roman" w:hAnsi="Times New Roman"/>
        </w:rPr>
        <w:t>：</w:t>
      </w:r>
      <w:r>
        <w:rPr>
          <w:rFonts w:ascii="Times New Roman" w:hAnsi="Times New Roman" w:eastAsia="楷体"/>
        </w:rPr>
        <w:t>(</w:t>
      </w:r>
      <w:r>
        <w:rPr>
          <w:rFonts w:ascii="Times New Roman" w:hAnsi="Times New Roman"/>
        </w:rPr>
        <w:t>1</w:t>
      </w:r>
      <w:r>
        <w:rPr>
          <w:rFonts w:ascii="Times New Roman" w:hAnsi="Times New Roman" w:eastAsia="楷体"/>
        </w:rPr>
        <w:t>)游标卡尺是根据刻度线对齐来读数的，所以不需要估读。但读数要注意最小精确度所在的位数，如果读数最后一位是零，该零不能去掉。读数时一般以毫米为单位，再进行单位换算。</w:t>
      </w:r>
    </w:p>
    <w:p w14:paraId="08379C10">
      <w:pPr>
        <w:tabs>
          <w:tab w:val="left" w:pos="2127"/>
          <w:tab w:val="left" w:pos="4395"/>
          <w:tab w:val="left" w:pos="6521"/>
        </w:tabs>
        <w:spacing w:line="360" w:lineRule="auto"/>
        <w:rPr>
          <w:rFonts w:ascii="Times New Roman" w:hAnsi="Times New Roman"/>
        </w:rPr>
      </w:pPr>
      <w:r>
        <w:rPr>
          <w:rFonts w:ascii="Times New Roman" w:hAnsi="Times New Roman" w:eastAsia="楷体"/>
        </w:rPr>
        <w:t>(</w:t>
      </w:r>
      <w:r>
        <w:rPr>
          <w:rFonts w:ascii="Times New Roman" w:hAnsi="Times New Roman"/>
        </w:rPr>
        <w:t>2</w:t>
      </w:r>
      <w:r>
        <w:rPr>
          <w:rFonts w:ascii="Times New Roman" w:hAnsi="Times New Roman" w:eastAsia="楷体"/>
        </w:rPr>
        <w:t>)读数时，要注意游标尺第几条刻度线(不含零刻度线)与主尺对齐。</w:t>
      </w:r>
    </w:p>
    <w:p w14:paraId="731E56F6">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34925" cy="105410"/>
            <wp:effectExtent l="0" t="0" r="3175" b="8890"/>
            <wp:docPr id="1007" name="image4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image477.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eastAsia="黑体"/>
          <w:w w:val="104"/>
        </w:rPr>
        <w:t>例</w:t>
      </w:r>
      <w:r>
        <w:rPr>
          <w:rFonts w:ascii="Times New Roman" w:hAnsi="Times New Roman"/>
          <w:w w:val="104"/>
        </w:rPr>
        <w:t>1</w:t>
      </w:r>
      <w:r>
        <w:rPr>
          <w:rFonts w:ascii="Times New Roman" w:hAnsi="Times New Roman"/>
        </w:rPr>
        <w:drawing>
          <wp:inline distT="0" distB="0" distL="0" distR="0">
            <wp:extent cx="34925" cy="105410"/>
            <wp:effectExtent l="0" t="0" r="3175" b="8890"/>
            <wp:docPr id="1008" name="image4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image478.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rPr>
        <w:t>　</w:t>
      </w:r>
      <w:r>
        <w:rPr>
          <w:rFonts w:ascii="Times New Roman" w:hAnsi="Times New Roman" w:eastAsia="楷体"/>
          <w:w w:val="104"/>
        </w:rPr>
        <w:t>(</w:t>
      </w:r>
      <w:r>
        <w:rPr>
          <w:rFonts w:ascii="Times New Roman" w:hAnsi="Times New Roman"/>
          <w:w w:val="104"/>
        </w:rPr>
        <w:t>2024·</w:t>
      </w:r>
      <w:r>
        <w:rPr>
          <w:rFonts w:ascii="Times New Roman" w:hAnsi="Times New Roman" w:eastAsia="楷体"/>
          <w:w w:val="104"/>
        </w:rPr>
        <w:t>北京师范大学附中高二月考)</w:t>
      </w:r>
      <w:r>
        <w:rPr>
          <w:rFonts w:ascii="Times New Roman" w:hAnsi="Times New Roman"/>
          <w:w w:val="104"/>
        </w:rPr>
        <w:t>物理实验中。用游标卡尺测量某金属管的外径，示数如图所示。则该金属管的外径为</w:t>
      </w:r>
      <w:r>
        <w:rPr>
          <w:rFonts w:ascii="Times New Roman" w:hAnsi="Times New Roman"/>
          <w:w w:val="104"/>
          <w:u w:val="single"/>
        </w:rPr>
        <w:t>　　　　　</w:t>
      </w:r>
      <w:r>
        <w:rPr>
          <w:rFonts w:ascii="Times New Roman" w:hAnsi="Times New Roman"/>
          <w:w w:val="104"/>
        </w:rPr>
        <w:t xml:space="preserve"> mm。 </w:t>
      </w:r>
    </w:p>
    <w:p w14:paraId="7501549A">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1798955" cy="934720"/>
            <wp:effectExtent l="0" t="0" r="0" b="0"/>
            <wp:docPr id="1009" name="image4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image479.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798955" cy="934720"/>
                    </a:xfrm>
                    <a:prstGeom prst="rect">
                      <a:avLst/>
                    </a:prstGeom>
                    <a:noFill/>
                    <a:ln>
                      <a:noFill/>
                    </a:ln>
                  </pic:spPr>
                </pic:pic>
              </a:graphicData>
            </a:graphic>
          </wp:inline>
        </w:drawing>
      </w:r>
    </w:p>
    <w:p w14:paraId="70BAA1A2">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34925" cy="105410"/>
            <wp:effectExtent l="0" t="0" r="3175" b="8890"/>
            <wp:docPr id="1010" name="image4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image480.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eastAsia="黑体"/>
          <w:w w:val="104"/>
        </w:rPr>
        <w:t>例</w:t>
      </w:r>
      <w:r>
        <w:rPr>
          <w:rFonts w:ascii="Times New Roman" w:hAnsi="Times New Roman"/>
          <w:w w:val="104"/>
        </w:rPr>
        <w:t>2</w:t>
      </w:r>
      <w:r>
        <w:rPr>
          <w:rFonts w:ascii="Times New Roman" w:hAnsi="Times New Roman"/>
        </w:rPr>
        <w:drawing>
          <wp:inline distT="0" distB="0" distL="0" distR="0">
            <wp:extent cx="34925" cy="105410"/>
            <wp:effectExtent l="0" t="0" r="3175" b="8890"/>
            <wp:docPr id="1011" name="image4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image481.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rPr>
        <w:t>　</w:t>
      </w:r>
      <w:r>
        <w:rPr>
          <w:rFonts w:ascii="Times New Roman" w:hAnsi="Times New Roman"/>
          <w:w w:val="104"/>
        </w:rPr>
        <w:t>如图甲、乙、丙所示的三把游标卡尺，它们的读数依次为</w:t>
      </w:r>
      <w:r>
        <w:rPr>
          <w:rFonts w:ascii="Times New Roman" w:hAnsi="Times New Roman"/>
          <w:w w:val="104"/>
          <w:u w:val="single"/>
        </w:rPr>
        <w:t>　　　</w:t>
      </w:r>
      <w:r>
        <w:rPr>
          <w:rFonts w:ascii="Times New Roman" w:hAnsi="Times New Roman"/>
          <w:w w:val="104"/>
        </w:rPr>
        <w:t>mm、</w:t>
      </w:r>
      <w:r>
        <w:rPr>
          <w:rFonts w:ascii="Times New Roman" w:hAnsi="Times New Roman"/>
          <w:w w:val="104"/>
          <w:u w:val="single"/>
        </w:rPr>
        <w:t>　　　</w:t>
      </w:r>
      <w:r>
        <w:rPr>
          <w:rFonts w:ascii="Times New Roman" w:hAnsi="Times New Roman"/>
          <w:w w:val="104"/>
        </w:rPr>
        <w:t>mm、</w:t>
      </w:r>
      <w:r>
        <w:rPr>
          <w:rFonts w:ascii="Times New Roman" w:hAnsi="Times New Roman"/>
          <w:w w:val="104"/>
          <w:u w:val="single"/>
        </w:rPr>
        <w:t>　　　　</w:t>
      </w:r>
      <w:r>
        <w:rPr>
          <w:rFonts w:ascii="Times New Roman" w:hAnsi="Times New Roman"/>
          <w:w w:val="104"/>
        </w:rPr>
        <w:t>mm。 </w:t>
      </w:r>
    </w:p>
    <w:p w14:paraId="0C7486D3">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2306320" cy="577850"/>
            <wp:effectExtent l="0" t="0" r="0" b="0"/>
            <wp:docPr id="1012" name="image4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image482.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306320" cy="577850"/>
                    </a:xfrm>
                    <a:prstGeom prst="rect">
                      <a:avLst/>
                    </a:prstGeom>
                    <a:noFill/>
                    <a:ln>
                      <a:noFill/>
                    </a:ln>
                  </pic:spPr>
                </pic:pic>
              </a:graphicData>
            </a:graphic>
          </wp:inline>
        </w:drawing>
      </w:r>
    </w:p>
    <w:p w14:paraId="7A80BECE">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2446655" cy="683260"/>
            <wp:effectExtent l="0" t="0" r="0" b="2540"/>
            <wp:docPr id="1013" name="image4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image483.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446655" cy="683260"/>
                    </a:xfrm>
                    <a:prstGeom prst="rect">
                      <a:avLst/>
                    </a:prstGeom>
                    <a:noFill/>
                    <a:ln>
                      <a:noFill/>
                    </a:ln>
                  </pic:spPr>
                </pic:pic>
              </a:graphicData>
            </a:graphic>
          </wp:inline>
        </w:drawing>
      </w:r>
    </w:p>
    <w:p w14:paraId="13F18175">
      <w:pPr>
        <w:tabs>
          <w:tab w:val="left" w:pos="2127"/>
          <w:tab w:val="left" w:pos="4395"/>
          <w:tab w:val="left" w:pos="6521"/>
        </w:tabs>
        <w:spacing w:line="360" w:lineRule="auto"/>
        <w:rPr>
          <w:rFonts w:ascii="Times New Roman" w:hAnsi="Times New Roman" w:eastAsia="微软雅黑"/>
        </w:rPr>
      </w:pPr>
      <w:r>
        <w:rPr>
          <w:rFonts w:ascii="Times New Roman" w:hAnsi="Times New Roman" w:eastAsia="微软雅黑"/>
        </w:rPr>
        <w:t>二、螺旋测微器的测量原理及使用</w:t>
      </w:r>
    </w:p>
    <w:p w14:paraId="5968BA67">
      <w:pPr>
        <w:tabs>
          <w:tab w:val="left" w:pos="2127"/>
          <w:tab w:val="left" w:pos="4395"/>
          <w:tab w:val="left" w:pos="6521"/>
        </w:tabs>
        <w:spacing w:line="360" w:lineRule="auto"/>
        <w:rPr>
          <w:rFonts w:ascii="Times New Roman" w:hAnsi="Times New Roman"/>
        </w:rPr>
      </w:pPr>
      <w:r>
        <w:rPr>
          <w:rFonts w:ascii="Times New Roman" w:hAnsi="Times New Roman"/>
          <w:w w:val="104"/>
        </w:rPr>
        <w:t>1.结构：如图所示，测砧A和</w:t>
      </w:r>
      <w:r>
        <w:rPr>
          <w:rFonts w:ascii="Times New Roman" w:hAnsi="Times New Roman"/>
          <w:w w:val="104"/>
          <w:u w:val="single"/>
        </w:rPr>
        <w:t>　　　　　　</w:t>
      </w:r>
      <w:r>
        <w:rPr>
          <w:rFonts w:ascii="Times New Roman" w:hAnsi="Times New Roman"/>
          <w:w w:val="104"/>
        </w:rPr>
        <w:t>B固定在尺架C上，可动刻度E、旋钮D、微调旋钮D</w:t>
      </w:r>
      <w:r>
        <w:rPr>
          <w:rFonts w:ascii="Times New Roman" w:hAnsi="Times New Roman"/>
          <w:i/>
          <w:w w:val="104"/>
        </w:rPr>
        <w:t>'</w:t>
      </w:r>
      <w:r>
        <w:rPr>
          <w:rFonts w:ascii="Times New Roman" w:hAnsi="Times New Roman"/>
          <w:w w:val="104"/>
        </w:rPr>
        <w:t>、测微螺杆F是连在一起的，通过精密螺纹套在B上。 </w:t>
      </w:r>
    </w:p>
    <w:p w14:paraId="33E68CDF">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1442085" cy="612775"/>
            <wp:effectExtent l="0" t="0" r="5715" b="0"/>
            <wp:docPr id="1014" name="image4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image48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442085" cy="612775"/>
                    </a:xfrm>
                    <a:prstGeom prst="rect">
                      <a:avLst/>
                    </a:prstGeom>
                    <a:noFill/>
                    <a:ln>
                      <a:noFill/>
                    </a:ln>
                  </pic:spPr>
                </pic:pic>
              </a:graphicData>
            </a:graphic>
          </wp:inline>
        </w:drawing>
      </w:r>
    </w:p>
    <w:p w14:paraId="69F21ECD">
      <w:pPr>
        <w:tabs>
          <w:tab w:val="left" w:pos="2127"/>
          <w:tab w:val="left" w:pos="4395"/>
          <w:tab w:val="left" w:pos="6521"/>
        </w:tabs>
        <w:spacing w:line="360" w:lineRule="auto"/>
        <w:rPr>
          <w:rFonts w:ascii="Times New Roman" w:hAnsi="Times New Roman"/>
        </w:rPr>
      </w:pPr>
      <w:r>
        <w:rPr>
          <w:rFonts w:ascii="Times New Roman" w:hAnsi="Times New Roman"/>
          <w:w w:val="104"/>
        </w:rPr>
        <w:t>2.测量原理</w:t>
      </w:r>
    </w:p>
    <w:p w14:paraId="0F51AC4D">
      <w:pPr>
        <w:tabs>
          <w:tab w:val="left" w:pos="2127"/>
          <w:tab w:val="left" w:pos="4395"/>
          <w:tab w:val="left" w:pos="6521"/>
        </w:tabs>
        <w:spacing w:line="360" w:lineRule="auto"/>
        <w:rPr>
          <w:rFonts w:ascii="Times New Roman" w:hAnsi="Times New Roman"/>
          <w:w w:val="104"/>
        </w:rPr>
      </w:pPr>
      <w:r>
        <w:rPr>
          <w:rFonts w:ascii="Times New Roman" w:hAnsi="Times New Roman"/>
          <w:w w:val="104"/>
        </w:rPr>
        <w:t>螺旋测微器是依据螺旋放大的原理制成的。</w:t>
      </w:r>
    </w:p>
    <w:p w14:paraId="01624D26">
      <w:pPr>
        <w:tabs>
          <w:tab w:val="left" w:pos="2127"/>
          <w:tab w:val="left" w:pos="4395"/>
          <w:tab w:val="left" w:pos="6521"/>
        </w:tabs>
        <w:spacing w:line="360" w:lineRule="auto"/>
        <w:rPr>
          <w:rFonts w:ascii="Times New Roman" w:hAnsi="Times New Roman"/>
        </w:rPr>
      </w:pPr>
      <w:r>
        <w:rPr>
          <w:rFonts w:ascii="Times New Roman" w:hAnsi="Times New Roman"/>
          <w:w w:val="104"/>
        </w:rPr>
        <w:t>(1)固定刻度B上的精密螺纹的螺距为0.5 mm，即旋钮D每旋转一周，F前进或后退0.5 mm，而可动刻度E上有50个等分刻度，每转动一小格，F前进或后退距离为</w:t>
      </w:r>
      <w:r>
        <w:rPr>
          <w:rFonts w:ascii="Times New Roman" w:hAnsi="Times New Roman"/>
          <w:w w:val="104"/>
          <w:u w:val="single"/>
        </w:rPr>
        <w:t>　　　　　</w:t>
      </w:r>
      <w:r>
        <w:rPr>
          <w:rFonts w:ascii="Times New Roman" w:hAnsi="Times New Roman"/>
          <w:w w:val="104"/>
        </w:rPr>
        <w:t xml:space="preserve"> mm=</w:t>
      </w:r>
      <w:r>
        <w:rPr>
          <w:rFonts w:ascii="Times New Roman" w:hAnsi="Times New Roman"/>
          <w:w w:val="104"/>
          <w:u w:val="single"/>
        </w:rPr>
        <w:t>　　　　</w:t>
      </w:r>
      <w:r>
        <w:rPr>
          <w:rFonts w:ascii="Times New Roman" w:hAnsi="Times New Roman"/>
          <w:w w:val="104"/>
        </w:rPr>
        <w:t xml:space="preserve"> mm，即螺旋测微器的精确度为</w:t>
      </w:r>
      <w:r>
        <w:rPr>
          <w:rFonts w:ascii="Times New Roman" w:hAnsi="Times New Roman"/>
          <w:w w:val="104"/>
          <w:u w:val="single"/>
        </w:rPr>
        <w:t>　　　　</w:t>
      </w:r>
      <w:r>
        <w:rPr>
          <w:rFonts w:ascii="Times New Roman" w:hAnsi="Times New Roman"/>
          <w:w w:val="104"/>
        </w:rPr>
        <w:t xml:space="preserve"> mm。读数时再估读一位，则估读到毫米的千分位，因此，螺旋测微器又叫千分尺。 </w:t>
      </w:r>
    </w:p>
    <w:p w14:paraId="70D37608">
      <w:pPr>
        <w:tabs>
          <w:tab w:val="left" w:pos="2127"/>
          <w:tab w:val="left" w:pos="4395"/>
          <w:tab w:val="left" w:pos="6521"/>
        </w:tabs>
        <w:spacing w:line="360" w:lineRule="auto"/>
        <w:rPr>
          <w:rFonts w:ascii="Times New Roman" w:hAnsi="Times New Roman"/>
        </w:rPr>
      </w:pPr>
      <w:r>
        <w:rPr>
          <w:rFonts w:ascii="Times New Roman" w:hAnsi="Times New Roman"/>
          <w:w w:val="104"/>
        </w:rPr>
        <w:t>(2)可动刻度在固定刻度上旋转一周，可动刻度便沿着固定刻度方向前进或后退一个螺距的距离。因此，沿轴线方向移动的微小距离，就能用圆周上的读数表示出来，如图所示。</w:t>
      </w:r>
    </w:p>
    <w:p w14:paraId="1BEF8712">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2522220" cy="2049780"/>
            <wp:effectExtent l="0" t="0" r="0" b="7620"/>
            <wp:docPr id="1015" name="image4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image48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522220" cy="2049780"/>
                    </a:xfrm>
                    <a:prstGeom prst="rect">
                      <a:avLst/>
                    </a:prstGeom>
                    <a:noFill/>
                    <a:ln>
                      <a:noFill/>
                    </a:ln>
                  </pic:spPr>
                </pic:pic>
              </a:graphicData>
            </a:graphic>
          </wp:inline>
        </w:drawing>
      </w:r>
    </w:p>
    <w:p w14:paraId="67397836">
      <w:pPr>
        <w:tabs>
          <w:tab w:val="left" w:pos="2127"/>
          <w:tab w:val="left" w:pos="4395"/>
          <w:tab w:val="left" w:pos="6521"/>
        </w:tabs>
        <w:spacing w:line="360" w:lineRule="auto"/>
        <w:rPr>
          <w:rFonts w:ascii="Times New Roman" w:hAnsi="Times New Roman"/>
        </w:rPr>
      </w:pPr>
      <w:r>
        <w:rPr>
          <w:rFonts w:ascii="Times New Roman" w:hAnsi="Times New Roman"/>
          <w:w w:val="104"/>
        </w:rPr>
        <w:t>3.读数方法</w:t>
      </w:r>
    </w:p>
    <w:p w14:paraId="469F27D9">
      <w:pPr>
        <w:tabs>
          <w:tab w:val="left" w:pos="2127"/>
          <w:tab w:val="left" w:pos="4395"/>
          <w:tab w:val="left" w:pos="6521"/>
        </w:tabs>
        <w:spacing w:line="360" w:lineRule="auto"/>
        <w:rPr>
          <w:rFonts w:ascii="Times New Roman" w:hAnsi="Times New Roman"/>
        </w:rPr>
      </w:pPr>
      <w:r>
        <w:rPr>
          <w:rFonts w:ascii="Times New Roman" w:hAnsi="Times New Roman"/>
          <w:w w:val="104"/>
        </w:rPr>
        <w:t>(1)先读固定刻度：毫米的整数部分。</w:t>
      </w:r>
    </w:p>
    <w:p w14:paraId="18CBAD04">
      <w:pPr>
        <w:tabs>
          <w:tab w:val="left" w:pos="2127"/>
          <w:tab w:val="left" w:pos="4395"/>
          <w:tab w:val="left" w:pos="6521"/>
        </w:tabs>
        <w:spacing w:line="360" w:lineRule="auto"/>
        <w:rPr>
          <w:rFonts w:ascii="Times New Roman" w:hAnsi="Times New Roman"/>
        </w:rPr>
      </w:pPr>
      <w:r>
        <w:rPr>
          <w:rFonts w:ascii="Times New Roman" w:hAnsi="Times New Roman"/>
          <w:w w:val="104"/>
        </w:rPr>
        <w:t>(2)再读半毫米刻度，若半毫米刻度线已露出，记作</w:t>
      </w:r>
      <w:r>
        <w:rPr>
          <w:rFonts w:ascii="Times New Roman" w:hAnsi="Times New Roman"/>
          <w:w w:val="104"/>
          <w:u w:val="single"/>
        </w:rPr>
        <w:t>　　　　</w:t>
      </w:r>
      <w:r>
        <w:rPr>
          <w:rFonts w:ascii="Times New Roman" w:hAnsi="Times New Roman"/>
          <w:w w:val="104"/>
        </w:rPr>
        <w:t xml:space="preserve"> mm；若半毫米刻度线未露出，记作0.0 mm。 </w:t>
      </w:r>
    </w:p>
    <w:p w14:paraId="10B363AB">
      <w:pPr>
        <w:tabs>
          <w:tab w:val="left" w:pos="2127"/>
          <w:tab w:val="left" w:pos="4395"/>
          <w:tab w:val="left" w:pos="6521"/>
        </w:tabs>
        <w:spacing w:line="360" w:lineRule="auto"/>
        <w:rPr>
          <w:rFonts w:ascii="Times New Roman" w:hAnsi="Times New Roman"/>
        </w:rPr>
      </w:pPr>
      <w:r>
        <w:rPr>
          <w:rFonts w:ascii="Times New Roman" w:hAnsi="Times New Roman"/>
          <w:w w:val="104"/>
        </w:rPr>
        <w:t>(3)再读可动刻度(注意估读一位)记作</w:t>
      </w:r>
      <w:r>
        <w:rPr>
          <w:rFonts w:ascii="Times New Roman" w:hAnsi="Times New Roman"/>
          <w:i/>
          <w:w w:val="104"/>
        </w:rPr>
        <w:t>n</w:t>
      </w:r>
      <w:r>
        <w:rPr>
          <w:rFonts w:ascii="宋体" w:hAnsi="宋体"/>
          <w:w w:val="104"/>
        </w:rPr>
        <w:t>×</w:t>
      </w:r>
      <w:r>
        <w:rPr>
          <w:rFonts w:ascii="Times New Roman" w:hAnsi="Times New Roman"/>
          <w:w w:val="104"/>
        </w:rPr>
        <w:t>0.01 mm。</w:t>
      </w:r>
    </w:p>
    <w:p w14:paraId="76428AC5">
      <w:pPr>
        <w:tabs>
          <w:tab w:val="left" w:pos="2127"/>
          <w:tab w:val="left" w:pos="4395"/>
          <w:tab w:val="left" w:pos="6521"/>
        </w:tabs>
        <w:spacing w:line="360" w:lineRule="auto"/>
        <w:rPr>
          <w:rFonts w:ascii="Times New Roman" w:hAnsi="Times New Roman"/>
        </w:rPr>
      </w:pPr>
      <w:r>
        <w:rPr>
          <w:rFonts w:ascii="Times New Roman" w:hAnsi="Times New Roman"/>
          <w:w w:val="104"/>
        </w:rPr>
        <w:t>(4)最终读数结果为：固定刻度+半刻度+可动刻度。</w:t>
      </w:r>
    </w:p>
    <w:p w14:paraId="54A562BC">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828675" cy="758825"/>
            <wp:effectExtent l="0" t="0" r="9525" b="3175"/>
            <wp:docPr id="1016" name="image4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image486.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828675" cy="758825"/>
                    </a:xfrm>
                    <a:prstGeom prst="rect">
                      <a:avLst/>
                    </a:prstGeom>
                    <a:noFill/>
                    <a:ln>
                      <a:noFill/>
                    </a:ln>
                  </pic:spPr>
                </pic:pic>
              </a:graphicData>
            </a:graphic>
          </wp:inline>
        </w:drawing>
      </w:r>
    </w:p>
    <w:p w14:paraId="388AAE06">
      <w:pPr>
        <w:tabs>
          <w:tab w:val="left" w:pos="2127"/>
          <w:tab w:val="left" w:pos="4395"/>
          <w:tab w:val="left" w:pos="6521"/>
        </w:tabs>
        <w:spacing w:line="360" w:lineRule="auto"/>
        <w:rPr>
          <w:rFonts w:ascii="Times New Roman" w:hAnsi="Times New Roman"/>
        </w:rPr>
      </w:pPr>
      <w:r>
        <w:rPr>
          <w:rFonts w:ascii="Times New Roman" w:hAnsi="Times New Roman"/>
          <w:w w:val="104"/>
        </w:rPr>
        <w:t>如图中固定刻度为2 mm，半毫米刻度线未露出，可动刻度读数为12.5(其中</w:t>
      </w:r>
      <w:r>
        <w:rPr>
          <w:rFonts w:ascii="宋体" w:hAnsi="宋体"/>
          <w:w w:val="104"/>
        </w:rPr>
        <w:t>“</w:t>
      </w:r>
      <w:r>
        <w:rPr>
          <w:rFonts w:ascii="Times New Roman" w:hAnsi="Times New Roman"/>
          <w:w w:val="104"/>
        </w:rPr>
        <w:t>12</w:t>
      </w:r>
      <w:r>
        <w:rPr>
          <w:rFonts w:ascii="宋体" w:hAnsi="宋体"/>
          <w:w w:val="104"/>
        </w:rPr>
        <w:t>”</w:t>
      </w:r>
      <w:r>
        <w:rPr>
          <w:rFonts w:ascii="Times New Roman" w:hAnsi="Times New Roman"/>
          <w:w w:val="104"/>
        </w:rPr>
        <w:t>是准确格数，</w:t>
      </w:r>
      <w:r>
        <w:rPr>
          <w:rFonts w:ascii="宋体" w:hAnsi="宋体"/>
          <w:w w:val="104"/>
        </w:rPr>
        <w:t>“</w:t>
      </w:r>
      <w:r>
        <w:rPr>
          <w:rFonts w:ascii="Times New Roman" w:hAnsi="Times New Roman"/>
          <w:w w:val="104"/>
        </w:rPr>
        <w:t>0.5</w:t>
      </w:r>
      <w:r>
        <w:rPr>
          <w:rFonts w:ascii="宋体" w:hAnsi="宋体"/>
          <w:w w:val="104"/>
        </w:rPr>
        <w:t>”</w:t>
      </w:r>
      <w:r>
        <w:rPr>
          <w:rFonts w:ascii="Times New Roman" w:hAnsi="Times New Roman"/>
          <w:w w:val="104"/>
        </w:rPr>
        <w:t>是估读的格数)，故被测长度是2 mm+0+0.01</w:t>
      </w:r>
      <w:r>
        <w:rPr>
          <w:rFonts w:ascii="宋体" w:hAnsi="宋体"/>
          <w:w w:val="104"/>
        </w:rPr>
        <w:t>×</w:t>
      </w:r>
      <w:r>
        <w:rPr>
          <w:rFonts w:ascii="Times New Roman" w:hAnsi="Times New Roman"/>
          <w:w w:val="104"/>
        </w:rPr>
        <w:t>12.5 mm=2.125 mm。</w:t>
      </w:r>
    </w:p>
    <w:p w14:paraId="1900CDC7">
      <w:pPr>
        <w:tabs>
          <w:tab w:val="left" w:pos="2127"/>
          <w:tab w:val="left" w:pos="4395"/>
          <w:tab w:val="left" w:pos="6521"/>
        </w:tabs>
        <w:spacing w:line="360" w:lineRule="auto"/>
        <w:rPr>
          <w:rFonts w:ascii="Times New Roman" w:hAnsi="Times New Roman"/>
        </w:rPr>
      </w:pPr>
      <w:r>
        <w:rPr>
          <w:rFonts w:ascii="Times New Roman" w:hAnsi="Times New Roman"/>
          <w:w w:val="104"/>
        </w:rPr>
        <w:t>4.注意事项</w:t>
      </w:r>
    </w:p>
    <w:p w14:paraId="2A89F453">
      <w:pPr>
        <w:tabs>
          <w:tab w:val="left" w:pos="2127"/>
          <w:tab w:val="left" w:pos="4395"/>
          <w:tab w:val="left" w:pos="6521"/>
        </w:tabs>
        <w:spacing w:line="360" w:lineRule="auto"/>
        <w:rPr>
          <w:rFonts w:ascii="Times New Roman" w:hAnsi="Times New Roman"/>
        </w:rPr>
      </w:pPr>
      <w:r>
        <w:rPr>
          <w:rFonts w:ascii="Times New Roman" w:hAnsi="Times New Roman"/>
          <w:w w:val="104"/>
        </w:rPr>
        <w:t>(1)测量时，在测微螺杆快靠近被测物体时应停止使用旋钮，改用微调旋钮，避免产生过大的压力，既可使测量结果精确，又能保护螺旋测微器。</w:t>
      </w:r>
    </w:p>
    <w:p w14:paraId="2DF0AC74">
      <w:pPr>
        <w:tabs>
          <w:tab w:val="left" w:pos="2127"/>
          <w:tab w:val="left" w:pos="4395"/>
          <w:tab w:val="left" w:pos="6521"/>
        </w:tabs>
        <w:spacing w:line="360" w:lineRule="auto"/>
        <w:rPr>
          <w:rFonts w:ascii="Times New Roman" w:hAnsi="Times New Roman"/>
        </w:rPr>
      </w:pPr>
      <w:r>
        <w:rPr>
          <w:rFonts w:ascii="Times New Roman" w:hAnsi="Times New Roman"/>
          <w:w w:val="104"/>
        </w:rPr>
        <w:t>(2)读数时准确到0.01 mm，要估读到0.001 mm，测量结果若用毫米作单位，则小数点后面必须保留</w:t>
      </w:r>
      <w:r>
        <w:rPr>
          <w:rFonts w:ascii="Times New Roman" w:hAnsi="Times New Roman"/>
          <w:w w:val="104"/>
          <w:u w:val="single"/>
        </w:rPr>
        <w:t>　　　</w:t>
      </w:r>
      <w:r>
        <w:rPr>
          <w:rFonts w:ascii="Times New Roman" w:hAnsi="Times New Roman"/>
          <w:w w:val="104"/>
        </w:rPr>
        <w:t>位数字。 </w:t>
      </w:r>
    </w:p>
    <w:p w14:paraId="56F88FE8">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34925" cy="105410"/>
            <wp:effectExtent l="0" t="0" r="3175" b="8890"/>
            <wp:docPr id="1017" name="image4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image487.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eastAsia="黑体"/>
          <w:w w:val="104"/>
        </w:rPr>
        <w:t>例</w:t>
      </w:r>
      <w:r>
        <w:rPr>
          <w:rFonts w:ascii="Times New Roman" w:hAnsi="Times New Roman"/>
          <w:w w:val="104"/>
        </w:rPr>
        <w:t>3</w:t>
      </w:r>
      <w:r>
        <w:rPr>
          <w:rFonts w:ascii="Times New Roman" w:hAnsi="Times New Roman"/>
        </w:rPr>
        <w:drawing>
          <wp:inline distT="0" distB="0" distL="0" distR="0">
            <wp:extent cx="34925" cy="105410"/>
            <wp:effectExtent l="0" t="0" r="3175" b="8890"/>
            <wp:docPr id="1018" name="image4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image488.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rPr>
        <w:t>　</w:t>
      </w:r>
      <w:r>
        <w:rPr>
          <w:rFonts w:ascii="Times New Roman" w:hAnsi="Times New Roman"/>
          <w:w w:val="104"/>
        </w:rPr>
        <w:t>螺旋测微器为精密仪器，用螺旋测微器测量合金丝的直径时，为防止螺旋测微器损伤，当测砧和测微螺杆快接触合金丝时应改为旋转图甲所示的部件</w:t>
      </w:r>
      <w:r>
        <w:rPr>
          <w:rFonts w:ascii="Times New Roman" w:hAnsi="Times New Roman"/>
          <w:w w:val="104"/>
          <w:u w:val="single"/>
        </w:rPr>
        <w:t>　　　　</w:t>
      </w:r>
      <w:r>
        <w:rPr>
          <w:rFonts w:ascii="Times New Roman" w:hAnsi="Times New Roman"/>
          <w:w w:val="104"/>
        </w:rPr>
        <w:t>(选填</w:t>
      </w:r>
      <w:r>
        <w:rPr>
          <w:rFonts w:ascii="宋体" w:hAnsi="宋体"/>
          <w:w w:val="104"/>
        </w:rPr>
        <w:t>“</w:t>
      </w:r>
      <w:r>
        <w:rPr>
          <w:rFonts w:ascii="Times New Roman" w:hAnsi="Times New Roman"/>
          <w:w w:val="104"/>
        </w:rPr>
        <w:t>A</w:t>
      </w:r>
      <w:r>
        <w:rPr>
          <w:rFonts w:ascii="宋体" w:hAnsi="宋体"/>
          <w:w w:val="104"/>
        </w:rPr>
        <w:t>”“</w:t>
      </w:r>
      <w:r>
        <w:rPr>
          <w:rFonts w:ascii="Times New Roman" w:hAnsi="Times New Roman"/>
          <w:w w:val="104"/>
        </w:rPr>
        <w:t>B</w:t>
      </w:r>
      <w:r>
        <w:rPr>
          <w:rFonts w:ascii="宋体" w:hAnsi="宋体"/>
          <w:w w:val="104"/>
        </w:rPr>
        <w:t>”“</w:t>
      </w:r>
      <w:r>
        <w:rPr>
          <w:rFonts w:ascii="Times New Roman" w:hAnsi="Times New Roman"/>
          <w:w w:val="104"/>
        </w:rPr>
        <w:t>C</w:t>
      </w:r>
      <w:r>
        <w:rPr>
          <w:rFonts w:ascii="宋体" w:hAnsi="宋体"/>
          <w:w w:val="104"/>
        </w:rPr>
        <w:t>”</w:t>
      </w:r>
      <w:r>
        <w:rPr>
          <w:rFonts w:ascii="Times New Roman" w:hAnsi="Times New Roman"/>
          <w:w w:val="104"/>
        </w:rPr>
        <w:t>或</w:t>
      </w:r>
      <w:r>
        <w:rPr>
          <w:rFonts w:ascii="宋体" w:hAnsi="宋体"/>
          <w:w w:val="104"/>
        </w:rPr>
        <w:t>“</w:t>
      </w:r>
      <w:r>
        <w:rPr>
          <w:rFonts w:ascii="Times New Roman" w:hAnsi="Times New Roman"/>
          <w:w w:val="104"/>
        </w:rPr>
        <w:t>D</w:t>
      </w:r>
      <w:r>
        <w:rPr>
          <w:rFonts w:ascii="宋体" w:hAnsi="宋体"/>
          <w:w w:val="104"/>
        </w:rPr>
        <w:t>”</w:t>
      </w:r>
      <w:r>
        <w:rPr>
          <w:rFonts w:ascii="Times New Roman" w:hAnsi="Times New Roman"/>
          <w:w w:val="104"/>
        </w:rPr>
        <w:t>)，将会听到</w:t>
      </w:r>
      <w:r>
        <w:rPr>
          <w:rFonts w:ascii="宋体" w:hAnsi="宋体"/>
          <w:w w:val="104"/>
        </w:rPr>
        <w:t>“</w:t>
      </w:r>
      <w:r>
        <w:rPr>
          <w:rFonts w:ascii="Times New Roman" w:hAnsi="Times New Roman"/>
          <w:w w:val="104"/>
        </w:rPr>
        <w:t>喀喀</w:t>
      </w:r>
      <w:r>
        <w:rPr>
          <w:rFonts w:ascii="宋体" w:hAnsi="宋体"/>
          <w:w w:val="104"/>
        </w:rPr>
        <w:t>”</w:t>
      </w:r>
      <w:r>
        <w:rPr>
          <w:rFonts w:ascii="Times New Roman" w:hAnsi="Times New Roman"/>
          <w:w w:val="104"/>
        </w:rPr>
        <w:t>响声，表示已经夹紧，为防止读数时测微螺杆发生转动，读数前还应先旋紧如图甲所示的部件</w:t>
      </w:r>
      <w:r>
        <w:rPr>
          <w:rFonts w:ascii="Times New Roman" w:hAnsi="Times New Roman"/>
          <w:w w:val="104"/>
          <w:u w:val="single"/>
        </w:rPr>
        <w:t>　　　</w:t>
      </w:r>
      <w:r>
        <w:rPr>
          <w:rFonts w:ascii="Times New Roman" w:hAnsi="Times New Roman"/>
          <w:w w:val="104"/>
        </w:rPr>
        <w:t>(选填</w:t>
      </w:r>
      <w:r>
        <w:rPr>
          <w:rFonts w:ascii="宋体" w:hAnsi="宋体"/>
          <w:w w:val="104"/>
        </w:rPr>
        <w:t>“</w:t>
      </w:r>
      <w:r>
        <w:rPr>
          <w:rFonts w:ascii="Times New Roman" w:hAnsi="Times New Roman"/>
          <w:w w:val="104"/>
        </w:rPr>
        <w:t>A</w:t>
      </w:r>
      <w:r>
        <w:rPr>
          <w:rFonts w:ascii="宋体" w:hAnsi="宋体"/>
          <w:w w:val="104"/>
        </w:rPr>
        <w:t>”“</w:t>
      </w:r>
      <w:r>
        <w:rPr>
          <w:rFonts w:ascii="Times New Roman" w:hAnsi="Times New Roman"/>
          <w:w w:val="104"/>
        </w:rPr>
        <w:t>B</w:t>
      </w:r>
      <w:r>
        <w:rPr>
          <w:rFonts w:ascii="宋体" w:hAnsi="宋体"/>
          <w:w w:val="104"/>
        </w:rPr>
        <w:t>”“</w:t>
      </w:r>
      <w:r>
        <w:rPr>
          <w:rFonts w:ascii="Times New Roman" w:hAnsi="Times New Roman"/>
          <w:w w:val="104"/>
        </w:rPr>
        <w:t>C</w:t>
      </w:r>
      <w:r>
        <w:rPr>
          <w:rFonts w:ascii="宋体" w:hAnsi="宋体"/>
          <w:w w:val="104"/>
        </w:rPr>
        <w:t>”</w:t>
      </w:r>
      <w:r>
        <w:rPr>
          <w:rFonts w:ascii="Times New Roman" w:hAnsi="Times New Roman"/>
          <w:w w:val="104"/>
        </w:rPr>
        <w:t>或</w:t>
      </w:r>
      <w:r>
        <w:rPr>
          <w:rFonts w:ascii="宋体" w:hAnsi="宋体"/>
          <w:w w:val="104"/>
        </w:rPr>
        <w:t>“</w:t>
      </w:r>
      <w:r>
        <w:rPr>
          <w:rFonts w:ascii="Times New Roman" w:hAnsi="Times New Roman"/>
          <w:w w:val="104"/>
        </w:rPr>
        <w:t>D</w:t>
      </w:r>
      <w:r>
        <w:rPr>
          <w:rFonts w:ascii="宋体" w:hAnsi="宋体"/>
          <w:w w:val="104"/>
        </w:rPr>
        <w:t>”</w:t>
      </w:r>
      <w:r>
        <w:rPr>
          <w:rFonts w:ascii="Times New Roman" w:hAnsi="Times New Roman"/>
          <w:w w:val="104"/>
        </w:rPr>
        <w:t>)。从图乙中的示数可读出合金丝的直径为</w:t>
      </w:r>
      <w:r>
        <w:rPr>
          <w:rFonts w:ascii="Times New Roman" w:hAnsi="Times New Roman"/>
          <w:w w:val="104"/>
          <w:u w:val="single"/>
        </w:rPr>
        <w:t>　　　　</w:t>
      </w:r>
      <w:r>
        <w:rPr>
          <w:rFonts w:ascii="Times New Roman" w:hAnsi="Times New Roman"/>
          <w:w w:val="104"/>
        </w:rPr>
        <w:t xml:space="preserve"> mm。 </w:t>
      </w:r>
    </w:p>
    <w:p w14:paraId="22EE1AA6">
      <w:pPr>
        <w:tabs>
          <w:tab w:val="left" w:pos="2127"/>
          <w:tab w:val="left" w:pos="4395"/>
          <w:tab w:val="left" w:pos="6521"/>
        </w:tabs>
        <w:spacing w:line="360" w:lineRule="auto"/>
        <w:jc w:val="center"/>
        <w:rPr>
          <w:rFonts w:ascii="Times New Roman" w:hAnsi="Times New Roman"/>
        </w:rPr>
      </w:pPr>
      <w:r>
        <w:rPr>
          <w:rFonts w:ascii="Times New Roman" w:hAnsi="Times New Roman"/>
        </w:rPr>
        <w:drawing>
          <wp:inline distT="0" distB="0" distL="0" distR="0">
            <wp:extent cx="2808605" cy="1045210"/>
            <wp:effectExtent l="0" t="0" r="0" b="2540"/>
            <wp:docPr id="1019" name="image4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image489.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2808605" cy="1045210"/>
                    </a:xfrm>
                    <a:prstGeom prst="rect">
                      <a:avLst/>
                    </a:prstGeom>
                    <a:noFill/>
                    <a:ln>
                      <a:noFill/>
                    </a:ln>
                  </pic:spPr>
                </pic:pic>
              </a:graphicData>
            </a:graphic>
          </wp:inline>
        </w:drawing>
      </w:r>
    </w:p>
    <w:p w14:paraId="5902852F">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34925" cy="105410"/>
            <wp:effectExtent l="0" t="0" r="3175" b="8890"/>
            <wp:docPr id="1020" name="image4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image490.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eastAsia="黑体"/>
          <w:w w:val="104"/>
        </w:rPr>
        <w:t>例</w:t>
      </w:r>
      <w:r>
        <w:rPr>
          <w:rFonts w:ascii="Times New Roman" w:hAnsi="Times New Roman"/>
          <w:w w:val="104"/>
        </w:rPr>
        <w:t>4</w:t>
      </w:r>
      <w:r>
        <w:rPr>
          <w:rFonts w:ascii="Times New Roman" w:hAnsi="Times New Roman"/>
        </w:rPr>
        <w:drawing>
          <wp:inline distT="0" distB="0" distL="0" distR="0">
            <wp:extent cx="34925" cy="105410"/>
            <wp:effectExtent l="0" t="0" r="3175" b="8890"/>
            <wp:docPr id="1021" name="image4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image491.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rPr>
        <w:t>　</w:t>
      </w:r>
      <w:r>
        <w:rPr>
          <w:rFonts w:ascii="Times New Roman" w:hAnsi="Times New Roman"/>
          <w:w w:val="104"/>
        </w:rPr>
        <w:t>读出下面螺旋测微器测量的读数。</w:t>
      </w:r>
    </w:p>
    <w:p w14:paraId="6604651F">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2627630" cy="899160"/>
            <wp:effectExtent l="0" t="0" r="1270" b="0"/>
            <wp:docPr id="1022" name="image4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image492.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2627630" cy="899160"/>
                    </a:xfrm>
                    <a:prstGeom prst="rect">
                      <a:avLst/>
                    </a:prstGeom>
                    <a:noFill/>
                    <a:ln>
                      <a:noFill/>
                    </a:ln>
                  </pic:spPr>
                </pic:pic>
              </a:graphicData>
            </a:graphic>
          </wp:inline>
        </w:drawing>
      </w:r>
    </w:p>
    <w:p w14:paraId="4AA0C129">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2627630" cy="1115060"/>
            <wp:effectExtent l="0" t="0" r="1270" b="8890"/>
            <wp:docPr id="1023" name="image4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image493.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2627630" cy="1115060"/>
                    </a:xfrm>
                    <a:prstGeom prst="rect">
                      <a:avLst/>
                    </a:prstGeom>
                    <a:noFill/>
                    <a:ln>
                      <a:noFill/>
                    </a:ln>
                  </pic:spPr>
                </pic:pic>
              </a:graphicData>
            </a:graphic>
          </wp:inline>
        </w:drawing>
      </w:r>
    </w:p>
    <w:p w14:paraId="51DB88FD">
      <w:pPr>
        <w:tabs>
          <w:tab w:val="left" w:pos="2127"/>
          <w:tab w:val="left" w:pos="4395"/>
          <w:tab w:val="left" w:pos="6521"/>
        </w:tabs>
        <w:spacing w:line="360" w:lineRule="auto"/>
        <w:rPr>
          <w:rFonts w:ascii="Times New Roman" w:hAnsi="Times New Roman"/>
        </w:rPr>
      </w:pPr>
      <w:r>
        <w:rPr>
          <w:rFonts w:ascii="Times New Roman" w:hAnsi="Times New Roman"/>
          <w:w w:val="104"/>
        </w:rPr>
        <w:t>甲</w:t>
      </w:r>
      <w:r>
        <w:rPr>
          <w:rFonts w:ascii="Times New Roman" w:hAnsi="Times New Roman"/>
          <w:w w:val="104"/>
          <w:u w:val="single"/>
        </w:rPr>
        <w:t>　　　</w:t>
      </w:r>
      <w:r>
        <w:rPr>
          <w:rFonts w:ascii="Times New Roman" w:hAnsi="Times New Roman"/>
          <w:w w:val="104"/>
        </w:rPr>
        <w:t>mm，乙</w:t>
      </w:r>
      <w:r>
        <w:rPr>
          <w:rFonts w:ascii="Times New Roman" w:hAnsi="Times New Roman"/>
          <w:w w:val="104"/>
          <w:u w:val="single"/>
        </w:rPr>
        <w:t>　　　</w:t>
      </w:r>
      <w:r>
        <w:rPr>
          <w:rFonts w:ascii="Times New Roman" w:hAnsi="Times New Roman"/>
          <w:w w:val="104"/>
        </w:rPr>
        <w:t>mm，丙</w:t>
      </w:r>
      <w:r>
        <w:rPr>
          <w:rFonts w:ascii="Times New Roman" w:hAnsi="Times New Roman"/>
          <w:w w:val="104"/>
          <w:u w:val="single"/>
        </w:rPr>
        <w:t>　　　</w:t>
      </w:r>
      <w:r>
        <w:rPr>
          <w:rFonts w:ascii="Times New Roman" w:hAnsi="Times New Roman"/>
          <w:w w:val="104"/>
        </w:rPr>
        <w:t>mm。 </w:t>
      </w:r>
    </w:p>
    <w:p w14:paraId="15F5A74E">
      <w:pPr>
        <w:tabs>
          <w:tab w:val="left" w:pos="2127"/>
          <w:tab w:val="left" w:pos="4395"/>
          <w:tab w:val="left" w:pos="6521"/>
        </w:tabs>
        <w:spacing w:line="360" w:lineRule="auto"/>
        <w:rPr>
          <w:rFonts w:ascii="Times New Roman" w:hAnsi="Times New Roman" w:eastAsia="微软雅黑"/>
        </w:rPr>
      </w:pPr>
      <w:r>
        <w:rPr>
          <w:rFonts w:ascii="Times New Roman" w:hAnsi="Times New Roman" w:eastAsia="微软雅黑"/>
        </w:rPr>
        <w:t>三、电压表、电流表的读数</w:t>
      </w:r>
    </w:p>
    <w:p w14:paraId="4179D0E0">
      <w:pPr>
        <w:tabs>
          <w:tab w:val="left" w:pos="2127"/>
          <w:tab w:val="left" w:pos="4395"/>
          <w:tab w:val="left" w:pos="6521"/>
        </w:tabs>
        <w:spacing w:line="360" w:lineRule="auto"/>
        <w:rPr>
          <w:rFonts w:ascii="Times New Roman" w:hAnsi="Times New Roman"/>
        </w:rPr>
      </w:pPr>
      <w:r>
        <w:rPr>
          <w:rFonts w:ascii="Times New Roman" w:hAnsi="Times New Roman"/>
          <w:w w:val="104"/>
        </w:rPr>
        <w:t>1.对于电压表和电流表的读数问题，首先要弄清电表量程，即指针指到</w:t>
      </w:r>
      <w:r>
        <w:rPr>
          <w:rFonts w:ascii="Times New Roman" w:hAnsi="Times New Roman"/>
          <w:w w:val="104"/>
          <w:u w:val="single"/>
        </w:rPr>
        <w:t>　　　　　　</w:t>
      </w:r>
      <w:r>
        <w:rPr>
          <w:rFonts w:ascii="Times New Roman" w:hAnsi="Times New Roman"/>
          <w:w w:val="104"/>
        </w:rPr>
        <w:t>时对应的电压或电流，然后根据表盘总的刻度数确定</w:t>
      </w:r>
      <w:r>
        <w:rPr>
          <w:rFonts w:ascii="Times New Roman" w:hAnsi="Times New Roman"/>
          <w:w w:val="104"/>
          <w:u w:val="single"/>
        </w:rPr>
        <w:t>　　　　</w:t>
      </w:r>
      <w:r>
        <w:rPr>
          <w:rFonts w:ascii="Times New Roman" w:hAnsi="Times New Roman"/>
          <w:w w:val="104"/>
        </w:rPr>
        <w:t>，按照指针的实际位置进行读数即可。 </w:t>
      </w:r>
    </w:p>
    <w:p w14:paraId="3D14EA88">
      <w:pPr>
        <w:tabs>
          <w:tab w:val="left" w:pos="2127"/>
          <w:tab w:val="left" w:pos="4395"/>
          <w:tab w:val="left" w:pos="6521"/>
        </w:tabs>
        <w:spacing w:line="360" w:lineRule="auto"/>
        <w:rPr>
          <w:rFonts w:ascii="Times New Roman" w:hAnsi="Times New Roman"/>
        </w:rPr>
      </w:pPr>
      <w:r>
        <w:rPr>
          <w:rFonts w:ascii="Times New Roman" w:hAnsi="Times New Roman"/>
          <w:w w:val="104"/>
        </w:rPr>
        <w:t>2.读数原则：</w:t>
      </w:r>
    </w:p>
    <w:p w14:paraId="578AB8A0">
      <w:pPr>
        <w:tabs>
          <w:tab w:val="left" w:pos="2127"/>
          <w:tab w:val="left" w:pos="4395"/>
          <w:tab w:val="left" w:pos="6521"/>
        </w:tabs>
        <w:spacing w:line="360" w:lineRule="auto"/>
        <w:rPr>
          <w:rFonts w:ascii="Times New Roman" w:hAnsi="Times New Roman"/>
        </w:rPr>
      </w:pPr>
      <w:r>
        <w:rPr>
          <w:rFonts w:ascii="Times New Roman" w:hAnsi="Times New Roman"/>
          <w:w w:val="104"/>
        </w:rPr>
        <w:t>(1)最小刻度是1、0.1、0.01，按十分之一估读，可分别估读到0.1、0.01、0.001；</w:t>
      </w:r>
    </w:p>
    <w:p w14:paraId="6E766F10">
      <w:pPr>
        <w:tabs>
          <w:tab w:val="left" w:pos="2127"/>
          <w:tab w:val="left" w:pos="4395"/>
          <w:tab w:val="left" w:pos="6521"/>
        </w:tabs>
        <w:spacing w:line="360" w:lineRule="auto"/>
        <w:rPr>
          <w:rFonts w:ascii="Times New Roman" w:hAnsi="Times New Roman"/>
        </w:rPr>
      </w:pPr>
      <w:r>
        <w:rPr>
          <w:rFonts w:ascii="Times New Roman" w:hAnsi="Times New Roman"/>
          <w:w w:val="104"/>
        </w:rPr>
        <w:t>(2)最小刻度是2、0.2、0.02，按二分之一估读，可分别估读到1、0.1、0.01；</w:t>
      </w:r>
    </w:p>
    <w:p w14:paraId="3CE7C1D4">
      <w:pPr>
        <w:tabs>
          <w:tab w:val="left" w:pos="2127"/>
          <w:tab w:val="left" w:pos="4395"/>
          <w:tab w:val="left" w:pos="6521"/>
        </w:tabs>
        <w:spacing w:line="360" w:lineRule="auto"/>
        <w:rPr>
          <w:rFonts w:ascii="Times New Roman" w:hAnsi="Times New Roman"/>
        </w:rPr>
      </w:pPr>
      <w:r>
        <w:rPr>
          <w:rFonts w:ascii="Times New Roman" w:hAnsi="Times New Roman"/>
          <w:w w:val="104"/>
        </w:rPr>
        <w:t>(3)最小刻度是5、0.5、0.05，按五分之一估读，可分别估读到1、0.1、0.01。</w:t>
      </w:r>
    </w:p>
    <w:p w14:paraId="02287900">
      <w:pPr>
        <w:tabs>
          <w:tab w:val="left" w:pos="2127"/>
          <w:tab w:val="left" w:pos="4395"/>
          <w:tab w:val="left" w:pos="6521"/>
        </w:tabs>
        <w:spacing w:line="360" w:lineRule="auto"/>
        <w:rPr>
          <w:rFonts w:ascii="Times New Roman" w:hAnsi="Times New Roman"/>
          <w:w w:val="104"/>
        </w:rPr>
      </w:pPr>
      <w:r>
        <w:rPr>
          <w:rFonts w:ascii="Times New Roman" w:hAnsi="Times New Roman"/>
          <w:w w:val="104"/>
        </w:rPr>
        <w:t>例如：</w:t>
      </w:r>
    </w:p>
    <w:p w14:paraId="72A8B6E0">
      <w:pPr>
        <w:tabs>
          <w:tab w:val="left" w:pos="2127"/>
          <w:tab w:val="left" w:pos="4395"/>
          <w:tab w:val="left" w:pos="6521"/>
        </w:tabs>
        <w:spacing w:line="360" w:lineRule="auto"/>
        <w:rPr>
          <w:rFonts w:ascii="Times New Roman" w:hAnsi="Times New Roman"/>
        </w:rPr>
      </w:pPr>
      <w:r>
        <w:rPr>
          <w:rFonts w:ascii="Times New Roman" w:hAnsi="Times New Roman"/>
          <w:w w:val="104"/>
        </w:rPr>
        <w:t>(1)0</w:t>
      </w:r>
      <w:r>
        <w:rPr>
          <w:rFonts w:ascii="Times New Roman" w:hAnsi="Times New Roman"/>
          <w:i/>
          <w:w w:val="104"/>
        </w:rPr>
        <w:t>~</w:t>
      </w:r>
      <w:r>
        <w:rPr>
          <w:rFonts w:ascii="Times New Roman" w:hAnsi="Times New Roman"/>
          <w:w w:val="104"/>
        </w:rPr>
        <w:t>3 V的电压表和0</w:t>
      </w:r>
      <w:r>
        <w:rPr>
          <w:rFonts w:ascii="Times New Roman" w:hAnsi="Times New Roman"/>
          <w:i/>
          <w:w w:val="104"/>
        </w:rPr>
        <w:t>~</w:t>
      </w:r>
      <w:r>
        <w:rPr>
          <w:rFonts w:ascii="Times New Roman" w:hAnsi="Times New Roman"/>
          <w:w w:val="104"/>
        </w:rPr>
        <w:t>3 A的电流表的读数方法相同，此量程下的精确度分别是0.1 V和0.1 A，看清楚指针的实际位置，读到小数点后面</w:t>
      </w:r>
      <w:r>
        <w:rPr>
          <w:rFonts w:ascii="Times New Roman" w:hAnsi="Times New Roman"/>
          <w:w w:val="104"/>
          <w:u w:val="single"/>
        </w:rPr>
        <w:t>　　　</w:t>
      </w:r>
      <w:r>
        <w:rPr>
          <w:rFonts w:ascii="Times New Roman" w:hAnsi="Times New Roman"/>
          <w:w w:val="104"/>
        </w:rPr>
        <w:t>。 </w:t>
      </w:r>
    </w:p>
    <w:p w14:paraId="12314BBF">
      <w:pPr>
        <w:tabs>
          <w:tab w:val="left" w:pos="2127"/>
          <w:tab w:val="left" w:pos="4395"/>
          <w:tab w:val="left" w:pos="6521"/>
        </w:tabs>
        <w:spacing w:line="360" w:lineRule="auto"/>
        <w:rPr>
          <w:rFonts w:ascii="Times New Roman" w:hAnsi="Times New Roman"/>
        </w:rPr>
      </w:pPr>
      <w:r>
        <w:rPr>
          <w:rFonts w:ascii="Times New Roman" w:hAnsi="Times New Roman"/>
          <w:w w:val="104"/>
        </w:rPr>
        <w:t>(2)对于0</w:t>
      </w:r>
      <w:r>
        <w:rPr>
          <w:rFonts w:ascii="Times New Roman" w:hAnsi="Times New Roman"/>
          <w:i/>
          <w:w w:val="104"/>
        </w:rPr>
        <w:t>~</w:t>
      </w:r>
      <w:r>
        <w:rPr>
          <w:rFonts w:ascii="Times New Roman" w:hAnsi="Times New Roman"/>
          <w:w w:val="104"/>
        </w:rPr>
        <w:t>15 V量程的电压表，精确度是0.5 V，在读数时只要求读到小数点后面</w:t>
      </w:r>
      <w:r>
        <w:rPr>
          <w:rFonts w:ascii="Times New Roman" w:hAnsi="Times New Roman"/>
          <w:w w:val="104"/>
          <w:u w:val="single"/>
        </w:rPr>
        <w:t>　　　</w:t>
      </w:r>
      <w:r>
        <w:rPr>
          <w:rFonts w:ascii="Times New Roman" w:hAnsi="Times New Roman"/>
          <w:w w:val="104"/>
        </w:rPr>
        <w:t>，即读到0.1 V。 </w:t>
      </w:r>
    </w:p>
    <w:p w14:paraId="15AB682F">
      <w:pPr>
        <w:tabs>
          <w:tab w:val="left" w:pos="2127"/>
          <w:tab w:val="left" w:pos="4395"/>
          <w:tab w:val="left" w:pos="6521"/>
        </w:tabs>
        <w:spacing w:line="360" w:lineRule="auto"/>
        <w:rPr>
          <w:rFonts w:ascii="Times New Roman" w:hAnsi="Times New Roman"/>
        </w:rPr>
      </w:pPr>
      <w:r>
        <w:rPr>
          <w:rFonts w:ascii="Times New Roman" w:hAnsi="Times New Roman"/>
          <w:w w:val="104"/>
        </w:rPr>
        <w:t>(3)对于0</w:t>
      </w:r>
      <w:r>
        <w:rPr>
          <w:rFonts w:ascii="Times New Roman" w:hAnsi="Times New Roman"/>
          <w:i/>
          <w:w w:val="104"/>
        </w:rPr>
        <w:t>~</w:t>
      </w:r>
      <w:r>
        <w:rPr>
          <w:rFonts w:ascii="Times New Roman" w:hAnsi="Times New Roman"/>
          <w:w w:val="104"/>
        </w:rPr>
        <w:t>0.6 A量程的电流表，精确度是0.02 A，在读数时只要求读到小数点后面</w:t>
      </w:r>
      <w:r>
        <w:rPr>
          <w:rFonts w:ascii="Times New Roman" w:hAnsi="Times New Roman"/>
          <w:w w:val="104"/>
          <w:u w:val="single"/>
        </w:rPr>
        <w:t>　　　</w:t>
      </w:r>
      <w:r>
        <w:rPr>
          <w:rFonts w:ascii="Times New Roman" w:hAnsi="Times New Roman"/>
          <w:w w:val="104"/>
        </w:rPr>
        <w:t>，这时要求</w:t>
      </w:r>
      <w:r>
        <w:rPr>
          <w:rFonts w:ascii="宋体" w:hAnsi="宋体"/>
          <w:w w:val="104"/>
        </w:rPr>
        <w:t>“</w:t>
      </w:r>
      <w:r>
        <w:rPr>
          <w:rFonts w:ascii="Times New Roman" w:hAnsi="Times New Roman"/>
          <w:w w:val="104"/>
        </w:rPr>
        <w:t>半格估读</w:t>
      </w:r>
      <w:r>
        <w:rPr>
          <w:rFonts w:ascii="宋体" w:hAnsi="宋体"/>
          <w:w w:val="104"/>
        </w:rPr>
        <w:t>”</w:t>
      </w:r>
      <w:r>
        <w:rPr>
          <w:rFonts w:ascii="Times New Roman" w:hAnsi="Times New Roman"/>
          <w:w w:val="104"/>
        </w:rPr>
        <w:t>，即读到最小刻度的一半0.01 A。 </w:t>
      </w:r>
    </w:p>
    <w:p w14:paraId="07023BF5">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34925" cy="105410"/>
            <wp:effectExtent l="0" t="0" r="3175" b="8890"/>
            <wp:docPr id="1024" name="image4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image494.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eastAsia="黑体"/>
          <w:w w:val="104"/>
        </w:rPr>
        <w:t>例</w:t>
      </w:r>
      <w:r>
        <w:rPr>
          <w:rFonts w:ascii="Times New Roman" w:hAnsi="Times New Roman"/>
          <w:w w:val="104"/>
        </w:rPr>
        <w:t>5</w:t>
      </w:r>
      <w:r>
        <w:rPr>
          <w:rFonts w:ascii="Times New Roman" w:hAnsi="Times New Roman"/>
        </w:rPr>
        <w:drawing>
          <wp:inline distT="0" distB="0" distL="0" distR="0">
            <wp:extent cx="34925" cy="105410"/>
            <wp:effectExtent l="0" t="0" r="3175" b="8890"/>
            <wp:docPr id="1025" name="image4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495.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rPr>
        <w:t>　</w:t>
      </w:r>
      <w:r>
        <w:rPr>
          <w:rFonts w:ascii="Times New Roman" w:hAnsi="Times New Roman"/>
          <w:w w:val="104"/>
        </w:rPr>
        <w:t>如图为电流表和电压表的刻度盘。</w:t>
      </w:r>
    </w:p>
    <w:p w14:paraId="3EC9408E">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2557145" cy="648335"/>
            <wp:effectExtent l="0" t="0" r="0" b="0"/>
            <wp:docPr id="1026" name="image4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496.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2557145" cy="648335"/>
                    </a:xfrm>
                    <a:prstGeom prst="rect">
                      <a:avLst/>
                    </a:prstGeom>
                    <a:noFill/>
                    <a:ln>
                      <a:noFill/>
                    </a:ln>
                  </pic:spPr>
                </pic:pic>
              </a:graphicData>
            </a:graphic>
          </wp:inline>
        </w:drawing>
      </w:r>
    </w:p>
    <w:p w14:paraId="24923796">
      <w:pPr>
        <w:tabs>
          <w:tab w:val="left" w:pos="2127"/>
          <w:tab w:val="left" w:pos="4395"/>
          <w:tab w:val="left" w:pos="6521"/>
        </w:tabs>
        <w:spacing w:line="360" w:lineRule="auto"/>
        <w:rPr>
          <w:rFonts w:ascii="Times New Roman" w:hAnsi="Times New Roman"/>
        </w:rPr>
      </w:pPr>
      <w:r>
        <w:rPr>
          <w:rFonts w:ascii="Times New Roman" w:hAnsi="Times New Roman"/>
          <w:w w:val="104"/>
        </w:rPr>
        <w:t>(1)图甲使用0.6 A量程时，对应刻度盘上每一小格代表</w:t>
      </w:r>
      <w:r>
        <w:rPr>
          <w:rFonts w:ascii="Times New Roman" w:hAnsi="Times New Roman"/>
          <w:w w:val="104"/>
          <w:u w:val="single"/>
        </w:rPr>
        <w:t>　　　　</w:t>
      </w:r>
      <w:r>
        <w:rPr>
          <w:rFonts w:ascii="Times New Roman" w:hAnsi="Times New Roman"/>
          <w:w w:val="104"/>
        </w:rPr>
        <w:t>A，图中表针的示数是</w:t>
      </w:r>
      <w:r>
        <w:rPr>
          <w:rFonts w:ascii="Times New Roman" w:hAnsi="Times New Roman"/>
          <w:w w:val="104"/>
          <w:u w:val="single"/>
        </w:rPr>
        <w:t>　　　</w:t>
      </w:r>
      <w:r>
        <w:rPr>
          <w:rFonts w:ascii="Times New Roman" w:hAnsi="Times New Roman"/>
          <w:w w:val="104"/>
        </w:rPr>
        <w:t>A；当使用3 A量程时，对应刻度盘上每一小格代表</w:t>
      </w:r>
      <w:r>
        <w:rPr>
          <w:rFonts w:ascii="Times New Roman" w:hAnsi="Times New Roman"/>
          <w:w w:val="104"/>
          <w:u w:val="single"/>
        </w:rPr>
        <w:t>　　　　</w:t>
      </w:r>
      <w:r>
        <w:rPr>
          <w:rFonts w:ascii="Times New Roman" w:hAnsi="Times New Roman"/>
          <w:w w:val="104"/>
        </w:rPr>
        <w:t>A，图中表针示数为</w:t>
      </w:r>
      <w:r>
        <w:rPr>
          <w:rFonts w:ascii="Times New Roman" w:hAnsi="Times New Roman"/>
          <w:w w:val="104"/>
          <w:u w:val="single"/>
        </w:rPr>
        <w:t>　　　　</w:t>
      </w:r>
      <w:r>
        <w:rPr>
          <w:rFonts w:ascii="Times New Roman" w:hAnsi="Times New Roman"/>
          <w:w w:val="104"/>
        </w:rPr>
        <w:t>A。 </w:t>
      </w:r>
    </w:p>
    <w:p w14:paraId="6527D914">
      <w:pPr>
        <w:tabs>
          <w:tab w:val="left" w:pos="2127"/>
          <w:tab w:val="left" w:pos="4395"/>
          <w:tab w:val="left" w:pos="6521"/>
        </w:tabs>
        <w:spacing w:line="360" w:lineRule="auto"/>
        <w:rPr>
          <w:rFonts w:ascii="Times New Roman" w:hAnsi="Times New Roman"/>
        </w:rPr>
      </w:pPr>
      <w:r>
        <w:rPr>
          <w:rFonts w:ascii="Times New Roman" w:hAnsi="Times New Roman"/>
          <w:w w:val="104"/>
        </w:rPr>
        <w:t>(2)图乙使用较小量程时，每小格表示</w:t>
      </w:r>
      <w:r>
        <w:rPr>
          <w:rFonts w:ascii="Times New Roman" w:hAnsi="Times New Roman"/>
          <w:w w:val="104"/>
          <w:u w:val="single"/>
        </w:rPr>
        <w:t>　　　　</w:t>
      </w:r>
      <w:r>
        <w:rPr>
          <w:rFonts w:ascii="Times New Roman" w:hAnsi="Times New Roman"/>
          <w:w w:val="104"/>
        </w:rPr>
        <w:t>V，图中表针的示数为</w:t>
      </w:r>
      <w:r>
        <w:rPr>
          <w:rFonts w:ascii="Times New Roman" w:hAnsi="Times New Roman"/>
          <w:w w:val="104"/>
          <w:u w:val="single"/>
        </w:rPr>
        <w:t>　　　</w:t>
      </w:r>
      <w:r>
        <w:rPr>
          <w:rFonts w:ascii="Times New Roman" w:hAnsi="Times New Roman"/>
          <w:w w:val="104"/>
        </w:rPr>
        <w:t>V；若使用的是较大量程，则这时表盘刻度每小格表示</w:t>
      </w:r>
      <w:r>
        <w:rPr>
          <w:rFonts w:ascii="Times New Roman" w:hAnsi="Times New Roman"/>
          <w:w w:val="104"/>
          <w:u w:val="single"/>
        </w:rPr>
        <w:t>　　　</w:t>
      </w:r>
      <w:r>
        <w:rPr>
          <w:rFonts w:ascii="Times New Roman" w:hAnsi="Times New Roman"/>
          <w:w w:val="104"/>
        </w:rPr>
        <w:t>V，图中表针示数为</w:t>
      </w:r>
      <w:r>
        <w:rPr>
          <w:rFonts w:ascii="Times New Roman" w:hAnsi="Times New Roman"/>
          <w:w w:val="104"/>
          <w:u w:val="single"/>
        </w:rPr>
        <w:t>　　　</w:t>
      </w:r>
      <w:r>
        <w:rPr>
          <w:rFonts w:ascii="Times New Roman" w:hAnsi="Times New Roman"/>
          <w:w w:val="104"/>
        </w:rPr>
        <w:t>V。 </w:t>
      </w:r>
    </w:p>
    <w:p w14:paraId="3AB30E9B">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34925" cy="105410"/>
            <wp:effectExtent l="0" t="0" r="3175" b="8890"/>
            <wp:docPr id="1027" name="image4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497.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eastAsia="黑体"/>
          <w:w w:val="104"/>
        </w:rPr>
        <w:t>例</w:t>
      </w:r>
      <w:r>
        <w:rPr>
          <w:rFonts w:ascii="Times New Roman" w:hAnsi="Times New Roman"/>
          <w:w w:val="104"/>
        </w:rPr>
        <w:t>6</w:t>
      </w:r>
      <w:r>
        <w:rPr>
          <w:rFonts w:ascii="Times New Roman" w:hAnsi="Times New Roman"/>
        </w:rPr>
        <w:drawing>
          <wp:inline distT="0" distB="0" distL="0" distR="0">
            <wp:extent cx="34925" cy="105410"/>
            <wp:effectExtent l="0" t="0" r="3175" b="8890"/>
            <wp:docPr id="1028" name="image4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498.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rPr>
        <w:t>　</w:t>
      </w:r>
      <w:r>
        <w:rPr>
          <w:rFonts w:ascii="Times New Roman" w:hAnsi="Times New Roman"/>
          <w:w w:val="104"/>
        </w:rPr>
        <w:t>请完成下列各表的读数，把答案填在图下的横线上。</w:t>
      </w:r>
    </w:p>
    <w:p w14:paraId="70475899">
      <w:pPr>
        <w:tabs>
          <w:tab w:val="left" w:pos="2127"/>
          <w:tab w:val="left" w:pos="4395"/>
          <w:tab w:val="left" w:pos="6521"/>
        </w:tabs>
        <w:spacing w:line="360" w:lineRule="auto"/>
        <w:rPr>
          <w:rFonts w:ascii="Times New Roman" w:hAnsi="Times New Roman"/>
        </w:rPr>
      </w:pPr>
      <w:r>
        <w:rPr>
          <w:rFonts w:ascii="Times New Roman" w:hAnsi="Times New Roman"/>
          <w:w w:val="104"/>
        </w:rPr>
        <w:t>(1)量程为0</w:t>
      </w:r>
      <w:r>
        <w:rPr>
          <w:rFonts w:ascii="Times New Roman" w:hAnsi="Times New Roman"/>
          <w:i/>
          <w:w w:val="104"/>
        </w:rPr>
        <w:t>~</w:t>
      </w:r>
      <w:r>
        <w:rPr>
          <w:rFonts w:ascii="Times New Roman" w:hAnsi="Times New Roman"/>
          <w:w w:val="104"/>
        </w:rPr>
        <w:t>3 V和0</w:t>
      </w:r>
      <w:r>
        <w:rPr>
          <w:rFonts w:ascii="Times New Roman" w:hAnsi="Times New Roman"/>
          <w:i/>
          <w:w w:val="104"/>
        </w:rPr>
        <w:t>~</w:t>
      </w:r>
      <w:r>
        <w:rPr>
          <w:rFonts w:ascii="Times New Roman" w:hAnsi="Times New Roman"/>
          <w:w w:val="104"/>
        </w:rPr>
        <w:t>3 A的电表读数。</w:t>
      </w:r>
    </w:p>
    <w:p w14:paraId="7EDC25D1">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2557145" cy="612775"/>
            <wp:effectExtent l="0" t="0" r="0" b="0"/>
            <wp:docPr id="1029" name="image4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499.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2557145" cy="612775"/>
                    </a:xfrm>
                    <a:prstGeom prst="rect">
                      <a:avLst/>
                    </a:prstGeom>
                    <a:noFill/>
                    <a:ln>
                      <a:noFill/>
                    </a:ln>
                  </pic:spPr>
                </pic:pic>
              </a:graphicData>
            </a:graphic>
          </wp:inline>
        </w:drawing>
      </w:r>
    </w:p>
    <w:p w14:paraId="0F8B9882">
      <w:pPr>
        <w:tabs>
          <w:tab w:val="left" w:pos="2127"/>
          <w:tab w:val="left" w:pos="4395"/>
          <w:tab w:val="left" w:pos="6521"/>
        </w:tabs>
        <w:spacing w:line="360" w:lineRule="auto"/>
        <w:jc w:val="center"/>
        <w:rPr>
          <w:rFonts w:ascii="Times New Roman" w:hAnsi="Times New Roman"/>
        </w:rPr>
      </w:pPr>
      <w:r>
        <w:rPr>
          <w:rFonts w:ascii="Times New Roman" w:hAnsi="Times New Roman"/>
          <w:w w:val="104"/>
        </w:rPr>
        <w:t>读数</w:t>
      </w:r>
      <w:r>
        <w:rPr>
          <w:rFonts w:ascii="Times New Roman" w:hAnsi="Times New Roman"/>
          <w:w w:val="104"/>
          <w:u w:val="single"/>
        </w:rPr>
        <w:t>　　　　</w:t>
      </w:r>
      <w:r>
        <w:rPr>
          <w:rFonts w:ascii="Times New Roman" w:hAnsi="Times New Roman"/>
          <w:w w:val="104"/>
        </w:rPr>
        <w:t>　　　　读数</w:t>
      </w:r>
    </w:p>
    <w:p w14:paraId="404550F0">
      <w:pPr>
        <w:tabs>
          <w:tab w:val="left" w:pos="2127"/>
          <w:tab w:val="left" w:pos="4395"/>
          <w:tab w:val="left" w:pos="6521"/>
        </w:tabs>
        <w:spacing w:line="360" w:lineRule="auto"/>
        <w:rPr>
          <w:rFonts w:ascii="Times New Roman" w:hAnsi="Times New Roman"/>
        </w:rPr>
      </w:pPr>
      <w:r>
        <w:rPr>
          <w:rFonts w:ascii="Times New Roman" w:hAnsi="Times New Roman"/>
          <w:w w:val="104"/>
        </w:rPr>
        <w:t>(2)量程为0</w:t>
      </w:r>
      <w:r>
        <w:rPr>
          <w:rFonts w:ascii="Times New Roman" w:hAnsi="Times New Roman"/>
          <w:i/>
          <w:w w:val="104"/>
        </w:rPr>
        <w:t>~</w:t>
      </w:r>
      <w:r>
        <w:rPr>
          <w:rFonts w:ascii="Times New Roman" w:hAnsi="Times New Roman"/>
          <w:w w:val="104"/>
        </w:rPr>
        <w:t>15 V的电压表读数。</w:t>
      </w:r>
    </w:p>
    <w:p w14:paraId="5E9CCA40">
      <w:pPr>
        <w:tabs>
          <w:tab w:val="left" w:pos="2127"/>
          <w:tab w:val="left" w:pos="4395"/>
          <w:tab w:val="left" w:pos="6521"/>
        </w:tabs>
        <w:spacing w:line="360" w:lineRule="auto"/>
        <w:jc w:val="center"/>
        <w:rPr>
          <w:rFonts w:ascii="Times New Roman" w:hAnsi="Times New Roman"/>
        </w:rPr>
      </w:pPr>
      <w:r>
        <w:rPr>
          <w:rFonts w:ascii="Times New Roman" w:hAnsi="Times New Roman"/>
        </w:rPr>
        <w:drawing>
          <wp:inline distT="0" distB="0" distL="0" distR="0">
            <wp:extent cx="1185545" cy="612775"/>
            <wp:effectExtent l="0" t="0" r="0" b="0"/>
            <wp:docPr id="1030" name="image5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500.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1185545" cy="612775"/>
                    </a:xfrm>
                    <a:prstGeom prst="rect">
                      <a:avLst/>
                    </a:prstGeom>
                    <a:noFill/>
                    <a:ln>
                      <a:noFill/>
                    </a:ln>
                  </pic:spPr>
                </pic:pic>
              </a:graphicData>
            </a:graphic>
          </wp:inline>
        </w:drawing>
      </w:r>
      <w:r>
        <w:rPr>
          <w:rFonts w:ascii="Times New Roman" w:hAnsi="Times New Roman"/>
        </w:rPr>
        <w:drawing>
          <wp:inline distT="0" distB="0" distL="0" distR="0">
            <wp:extent cx="1185545" cy="612775"/>
            <wp:effectExtent l="0" t="0" r="0" b="0"/>
            <wp:docPr id="1031" name="image5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501.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185545" cy="612775"/>
                    </a:xfrm>
                    <a:prstGeom prst="rect">
                      <a:avLst/>
                    </a:prstGeom>
                    <a:noFill/>
                    <a:ln>
                      <a:noFill/>
                    </a:ln>
                  </pic:spPr>
                </pic:pic>
              </a:graphicData>
            </a:graphic>
          </wp:inline>
        </w:drawing>
      </w:r>
    </w:p>
    <w:p w14:paraId="148D6BF1">
      <w:pPr>
        <w:tabs>
          <w:tab w:val="left" w:pos="2127"/>
          <w:tab w:val="left" w:pos="4395"/>
          <w:tab w:val="left" w:pos="6521"/>
        </w:tabs>
        <w:spacing w:line="360" w:lineRule="auto"/>
        <w:jc w:val="center"/>
        <w:rPr>
          <w:rFonts w:ascii="Times New Roman" w:hAnsi="Times New Roman"/>
        </w:rPr>
      </w:pPr>
      <w:r>
        <w:rPr>
          <w:rFonts w:ascii="Times New Roman" w:hAnsi="Times New Roman"/>
          <w:w w:val="104"/>
        </w:rPr>
        <w:t>读数</w:t>
      </w:r>
      <w:r>
        <w:rPr>
          <w:rFonts w:ascii="Times New Roman" w:hAnsi="Times New Roman"/>
          <w:w w:val="104"/>
          <w:u w:val="single"/>
        </w:rPr>
        <w:t>　　　　</w:t>
      </w:r>
      <w:r>
        <w:rPr>
          <w:rFonts w:ascii="Times New Roman" w:hAnsi="Times New Roman"/>
          <w:w w:val="104"/>
        </w:rPr>
        <w:t>　　　　读数</w:t>
      </w:r>
    </w:p>
    <w:p w14:paraId="268CF519">
      <w:pPr>
        <w:tabs>
          <w:tab w:val="left" w:pos="2127"/>
          <w:tab w:val="left" w:pos="4395"/>
          <w:tab w:val="left" w:pos="6521"/>
        </w:tabs>
        <w:spacing w:line="360" w:lineRule="auto"/>
        <w:rPr>
          <w:rFonts w:ascii="Times New Roman" w:hAnsi="Times New Roman"/>
        </w:rPr>
      </w:pPr>
      <w:r>
        <w:rPr>
          <w:rFonts w:ascii="Times New Roman" w:hAnsi="Times New Roman"/>
          <w:w w:val="104"/>
        </w:rPr>
        <w:t>(3)量程为0</w:t>
      </w:r>
      <w:r>
        <w:rPr>
          <w:rFonts w:ascii="Times New Roman" w:hAnsi="Times New Roman"/>
          <w:i/>
          <w:w w:val="104"/>
        </w:rPr>
        <w:t>~</w:t>
      </w:r>
      <w:r>
        <w:rPr>
          <w:rFonts w:ascii="Times New Roman" w:hAnsi="Times New Roman"/>
          <w:w w:val="104"/>
        </w:rPr>
        <w:t>0.6 A的电流表读数。</w:t>
      </w:r>
    </w:p>
    <w:p w14:paraId="6B2F0D60">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2557145" cy="612775"/>
            <wp:effectExtent l="0" t="0" r="0" b="0"/>
            <wp:docPr id="1032" name="image5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502.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2557145" cy="612775"/>
                    </a:xfrm>
                    <a:prstGeom prst="rect">
                      <a:avLst/>
                    </a:prstGeom>
                    <a:noFill/>
                    <a:ln>
                      <a:noFill/>
                    </a:ln>
                  </pic:spPr>
                </pic:pic>
              </a:graphicData>
            </a:graphic>
          </wp:inline>
        </w:drawing>
      </w:r>
    </w:p>
    <w:p w14:paraId="4BB5B70B">
      <w:pPr>
        <w:tabs>
          <w:tab w:val="left" w:pos="2127"/>
          <w:tab w:val="left" w:pos="4395"/>
          <w:tab w:val="left" w:pos="6521"/>
        </w:tabs>
        <w:spacing w:line="360" w:lineRule="auto"/>
        <w:jc w:val="center"/>
        <w:rPr>
          <w:rFonts w:ascii="Times New Roman" w:hAnsi="Times New Roman"/>
          <w:w w:val="104"/>
        </w:rPr>
      </w:pPr>
      <w:r>
        <w:rPr>
          <w:rFonts w:ascii="Times New Roman" w:hAnsi="Times New Roman"/>
          <w:w w:val="104"/>
        </w:rPr>
        <w:t>读数</w:t>
      </w:r>
      <w:r>
        <w:rPr>
          <w:rFonts w:ascii="Times New Roman" w:hAnsi="Times New Roman"/>
          <w:w w:val="104"/>
          <w:u w:val="single"/>
        </w:rPr>
        <w:t>　　　　</w:t>
      </w:r>
      <w:r>
        <w:rPr>
          <w:rFonts w:ascii="Times New Roman" w:hAnsi="Times New Roman"/>
          <w:w w:val="104"/>
        </w:rPr>
        <w:t>　　　　读数</w:t>
      </w:r>
    </w:p>
    <w:p w14:paraId="589E9C9A">
      <w:pPr>
        <w:tabs>
          <w:tab w:val="left" w:pos="2127"/>
          <w:tab w:val="left" w:pos="4395"/>
          <w:tab w:val="left" w:pos="6521"/>
        </w:tabs>
        <w:spacing w:line="360" w:lineRule="auto"/>
        <w:rPr>
          <w:rFonts w:hint="eastAsia" w:ascii="Times New Roman" w:hAnsi="Times New Roman"/>
        </w:rPr>
      </w:pPr>
      <w:bookmarkStart w:id="0" w:name="_GoBack"/>
      <w:bookmarkEnd w:id="0"/>
    </w:p>
    <w:sectPr>
      <w:footnotePr>
        <w:numFmt w:val="decimalEnclosedCircleChinese"/>
      </w:footnotePr>
      <w:pgSz w:w="11907" w:h="16159"/>
      <w:pgMar w:top="850" w:right="850" w:bottom="850" w:left="85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NEU-BZ">
    <w:altName w:val="宋体"/>
    <w:panose1 w:val="00000000000000000000"/>
    <w:charset w:val="86"/>
    <w:family w:val="script"/>
    <w:pitch w:val="default"/>
    <w:sig w:usb0="00000000" w:usb1="00000000" w:usb2="000A005E" w:usb3="00000000" w:csb0="003C0041" w:csb1="00000000"/>
  </w:font>
  <w:font w:name="Arial Unicode MS">
    <w:altName w:val="Arial"/>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方正小标宋_GBK">
    <w:altName w:val="微软雅黑"/>
    <w:panose1 w:val="03000509000000000000"/>
    <w:charset w:val="86"/>
    <w:family w:val="script"/>
    <w:pitch w:val="default"/>
    <w:sig w:usb0="00000000" w:usb1="00000000" w:usb2="00000010" w:usb3="00000000" w:csb0="00040000" w:csb1="00000000"/>
  </w:font>
  <w:font w:name="幼圆">
    <w:panose1 w:val="02010509060101010101"/>
    <w:charset w:val="86"/>
    <w:family w:val="modern"/>
    <w:pitch w:val="default"/>
    <w:sig w:usb0="00000001" w:usb1="080E0000" w:usb2="00000000" w:usb3="00000000" w:csb0="00040000" w:csb1="00000000"/>
  </w:font>
  <w:font w:name="方正书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Cambria Math">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hideSpellingErrors/>
  <w:documentProtection w:enforcement="0"/>
  <w:defaultTabStop w:val="720"/>
  <w:drawingGridHorizontalSpacing w:val="110"/>
  <w:displayHorizontalDrawingGridEvery w:val="2"/>
  <w:characterSpacingControl w:val="doNotCompress"/>
  <w:footnotePr>
    <w:numFmt w:val="decimalEnclosedCircleChinese"/>
  </w:foot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146D8"/>
    <w:rsid w:val="00031EE8"/>
    <w:rsid w:val="00031EEE"/>
    <w:rsid w:val="00043C97"/>
    <w:rsid w:val="00050A48"/>
    <w:rsid w:val="00051636"/>
    <w:rsid w:val="0006373F"/>
    <w:rsid w:val="00075369"/>
    <w:rsid w:val="000B623B"/>
    <w:rsid w:val="000B6BA8"/>
    <w:rsid w:val="000C7DE7"/>
    <w:rsid w:val="001302C8"/>
    <w:rsid w:val="0013235C"/>
    <w:rsid w:val="00152ED9"/>
    <w:rsid w:val="001C5ADF"/>
    <w:rsid w:val="002068E6"/>
    <w:rsid w:val="00292EDB"/>
    <w:rsid w:val="002F4D1E"/>
    <w:rsid w:val="002F6CAA"/>
    <w:rsid w:val="00326389"/>
    <w:rsid w:val="00327CDE"/>
    <w:rsid w:val="00384413"/>
    <w:rsid w:val="00391EE7"/>
    <w:rsid w:val="003B1CD3"/>
    <w:rsid w:val="00405CA5"/>
    <w:rsid w:val="00451408"/>
    <w:rsid w:val="00453349"/>
    <w:rsid w:val="00460FE4"/>
    <w:rsid w:val="00486645"/>
    <w:rsid w:val="0049669A"/>
    <w:rsid w:val="004A2F49"/>
    <w:rsid w:val="004A3019"/>
    <w:rsid w:val="004C6776"/>
    <w:rsid w:val="00510EA2"/>
    <w:rsid w:val="005156A7"/>
    <w:rsid w:val="005243A2"/>
    <w:rsid w:val="00535272"/>
    <w:rsid w:val="005518C6"/>
    <w:rsid w:val="00571FBD"/>
    <w:rsid w:val="0058578F"/>
    <w:rsid w:val="00596DB1"/>
    <w:rsid w:val="005B0CFB"/>
    <w:rsid w:val="005F127C"/>
    <w:rsid w:val="00606592"/>
    <w:rsid w:val="006C537E"/>
    <w:rsid w:val="006D6693"/>
    <w:rsid w:val="006E28A5"/>
    <w:rsid w:val="00720332"/>
    <w:rsid w:val="007345BA"/>
    <w:rsid w:val="0078317D"/>
    <w:rsid w:val="007D3E4D"/>
    <w:rsid w:val="007D3E90"/>
    <w:rsid w:val="007F5E4B"/>
    <w:rsid w:val="0081363D"/>
    <w:rsid w:val="00836A28"/>
    <w:rsid w:val="00842AB6"/>
    <w:rsid w:val="00843D10"/>
    <w:rsid w:val="00852825"/>
    <w:rsid w:val="008B3DDC"/>
    <w:rsid w:val="00905396"/>
    <w:rsid w:val="009217BC"/>
    <w:rsid w:val="00956812"/>
    <w:rsid w:val="00960619"/>
    <w:rsid w:val="00971BFB"/>
    <w:rsid w:val="00982738"/>
    <w:rsid w:val="009B5B4A"/>
    <w:rsid w:val="009D374C"/>
    <w:rsid w:val="009D7281"/>
    <w:rsid w:val="009F4C47"/>
    <w:rsid w:val="00A33F40"/>
    <w:rsid w:val="00A77468"/>
    <w:rsid w:val="00AB315B"/>
    <w:rsid w:val="00B308B8"/>
    <w:rsid w:val="00B66B48"/>
    <w:rsid w:val="00B66FB3"/>
    <w:rsid w:val="00B82B68"/>
    <w:rsid w:val="00BA1E36"/>
    <w:rsid w:val="00BA7E22"/>
    <w:rsid w:val="00BF17CB"/>
    <w:rsid w:val="00C44E2D"/>
    <w:rsid w:val="00C47140"/>
    <w:rsid w:val="00C6302E"/>
    <w:rsid w:val="00C82289"/>
    <w:rsid w:val="00C93E3A"/>
    <w:rsid w:val="00CB1D13"/>
    <w:rsid w:val="00CB693A"/>
    <w:rsid w:val="00D01BC0"/>
    <w:rsid w:val="00D3685C"/>
    <w:rsid w:val="00D81827"/>
    <w:rsid w:val="00D940E1"/>
    <w:rsid w:val="00E05032"/>
    <w:rsid w:val="00E336E3"/>
    <w:rsid w:val="00E5427A"/>
    <w:rsid w:val="00E629AC"/>
    <w:rsid w:val="00E93DC0"/>
    <w:rsid w:val="00EB4538"/>
    <w:rsid w:val="00EE2731"/>
    <w:rsid w:val="00F043AD"/>
    <w:rsid w:val="00F2499B"/>
    <w:rsid w:val="00F81A0E"/>
    <w:rsid w:val="00FA57C3"/>
    <w:rsid w:val="00FC4922"/>
    <w:rsid w:val="46D66757"/>
  </w:rsids>
  <m:mathPr>
    <m:mathFont m:val="Cambria Math"/>
    <m:brkBin m:val="before"/>
    <m:brkBinSub m:val="--"/>
    <m:smallFrac m:val="0"/>
    <m:dispDef/>
    <m:lMargin m:val="0"/>
    <m:rMargin m:val="0"/>
    <m:defJc m:val="centerGroup"/>
    <m:wrapIndent m:val="1440"/>
    <m:intLim m:val="subSup"/>
    <m:naryLim m:val="undOvr"/>
  </m:mathPr>
  <w:attachedSchema w:val="http://www.founder.com/pam"/>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NEU-BZ"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rPr>
      <w:rFonts w:ascii="Calibri" w:hAnsi="NEU-BZ" w:eastAsia="宋体" w:cs="Times New Roman"/>
      <w:sz w:val="22"/>
      <w:szCs w:val="22"/>
      <w:lang w:val="en-US" w:eastAsia="zh-CN" w:bidi="ar-SA"/>
    </w:rPr>
  </w:style>
  <w:style w:type="paragraph" w:styleId="2">
    <w:name w:val="heading 2"/>
    <w:basedOn w:val="1"/>
    <w:next w:val="1"/>
    <w:link w:val="26"/>
    <w:unhideWhenUsed/>
    <w:qFormat/>
    <w:uiPriority w:val="9"/>
    <w:pPr>
      <w:keepNext/>
      <w:keepLines/>
      <w:spacing w:before="260" w:after="260" w:line="416" w:lineRule="auto"/>
      <w:jc w:val="center"/>
      <w:outlineLvl w:val="1"/>
    </w:pPr>
    <w:rPr>
      <w:rFonts w:ascii="Times New Roman" w:hAnsi="Times New Roman"/>
      <w:b/>
      <w:bCs/>
      <w:sz w:val="32"/>
      <w:szCs w:val="32"/>
    </w:rPr>
  </w:style>
  <w:style w:type="character" w:default="1" w:styleId="11">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Balloon Text"/>
    <w:basedOn w:val="4"/>
    <w:link w:val="16"/>
    <w:semiHidden/>
    <w:unhideWhenUsed/>
    <w:uiPriority w:val="99"/>
    <w:rPr>
      <w:rFonts w:ascii="Tahoma" w:hAnsi="Tahoma" w:cs="Tahoma"/>
      <w:sz w:val="16"/>
      <w:szCs w:val="16"/>
    </w:rPr>
  </w:style>
  <w:style w:type="paragraph" w:customStyle="1" w:styleId="4">
    <w:name w:val="_Style 4"/>
    <w:qFormat/>
    <w:uiPriority w:val="0"/>
    <w:rPr>
      <w:rFonts w:ascii="Calibri" w:hAnsi="NEU-BZ" w:eastAsia="宋体" w:cs="Times New Roman"/>
      <w:sz w:val="22"/>
      <w:szCs w:val="22"/>
      <w:lang w:val="en-US" w:eastAsia="zh-CN" w:bidi="ar-SA"/>
    </w:rPr>
  </w:style>
  <w:style w:type="paragraph" w:styleId="5">
    <w:name w:val="footer"/>
    <w:basedOn w:val="4"/>
    <w:link w:val="14"/>
    <w:unhideWhenUsed/>
    <w:uiPriority w:val="99"/>
    <w:pPr>
      <w:tabs>
        <w:tab w:val="center" w:pos="4513"/>
        <w:tab w:val="right" w:pos="9026"/>
      </w:tabs>
    </w:pPr>
  </w:style>
  <w:style w:type="paragraph" w:styleId="6">
    <w:name w:val="header"/>
    <w:basedOn w:val="4"/>
    <w:link w:val="13"/>
    <w:unhideWhenUsed/>
    <w:uiPriority w:val="99"/>
    <w:pPr>
      <w:tabs>
        <w:tab w:val="center" w:pos="4513"/>
        <w:tab w:val="right" w:pos="9026"/>
      </w:tabs>
    </w:pPr>
  </w:style>
  <w:style w:type="paragraph" w:styleId="7">
    <w:name w:val="footnote text"/>
    <w:basedOn w:val="4"/>
    <w:link w:val="21"/>
    <w:semiHidden/>
    <w:unhideWhenUsed/>
    <w:uiPriority w:val="99"/>
    <w:pPr>
      <w:snapToGrid w:val="0"/>
    </w:pPr>
    <w:rPr>
      <w:sz w:val="18"/>
      <w:szCs w:val="18"/>
    </w:rPr>
  </w:style>
  <w:style w:type="table" w:styleId="9">
    <w:name w:val="Table Grid"/>
    <w:basedOn w:val="8"/>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styleId="10">
    <w:name w:val="Light Shading Accent 3"/>
    <w:basedOn w:val="8"/>
    <w:uiPriority w:val="60"/>
    <w:rPr>
      <w:color w:val="76923C"/>
    </w:rPr>
    <w:tblPr>
      <w:tblBorders>
        <w:top w:val="single" w:color="9BBB59" w:sz="8" w:space="0"/>
        <w:bottom w:val="single" w:color="9BBB59"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sz="8" w:space="0"/>
          <w:left w:val="nil"/>
          <w:bottom w:val="single" w:color="9BBB59" w:sz="8" w:space="0"/>
          <w:right w:val="nil"/>
          <w:insideH w:val="nil"/>
          <w:insideV w:val="nil"/>
        </w:tcBorders>
      </w:tcPr>
    </w:tblStylePr>
    <w:tblStylePr w:type="lastRow">
      <w:pPr>
        <w:spacing w:before="0" w:after="0" w:line="240" w:lineRule="auto"/>
      </w:pPr>
      <w:rPr>
        <w:b/>
        <w:bCs/>
      </w:rPr>
      <w:tblPr/>
      <w:tcPr>
        <w:tcBorders>
          <w:top w:val="single" w:color="9BBB59" w:sz="8" w:space="0"/>
          <w:left w:val="nil"/>
          <w:bottom w:val="single" w:color="9BBB59"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styleId="12">
    <w:name w:val="footnote reference"/>
    <w:semiHidden/>
    <w:unhideWhenUsed/>
    <w:uiPriority w:val="99"/>
    <w:rPr>
      <w:vertAlign w:val="superscript"/>
    </w:rPr>
  </w:style>
  <w:style w:type="character" w:customStyle="1" w:styleId="13">
    <w:name w:val="页眉 Char"/>
    <w:basedOn w:val="11"/>
    <w:link w:val="6"/>
    <w:uiPriority w:val="99"/>
  </w:style>
  <w:style w:type="character" w:customStyle="1" w:styleId="14">
    <w:name w:val="页脚 Char"/>
    <w:basedOn w:val="11"/>
    <w:link w:val="5"/>
    <w:uiPriority w:val="99"/>
  </w:style>
  <w:style w:type="paragraph" w:styleId="15">
    <w:name w:val="List Paragraph"/>
    <w:basedOn w:val="4"/>
    <w:qFormat/>
    <w:uiPriority w:val="34"/>
    <w:pPr>
      <w:ind w:left="720"/>
      <w:contextualSpacing/>
    </w:pPr>
  </w:style>
  <w:style w:type="character" w:customStyle="1" w:styleId="16">
    <w:name w:val="批注框文本 Char"/>
    <w:link w:val="3"/>
    <w:semiHidden/>
    <w:uiPriority w:val="99"/>
    <w:rPr>
      <w:rFonts w:ascii="Tahoma" w:hAnsi="Tahoma" w:cs="Tahoma"/>
      <w:sz w:val="16"/>
      <w:szCs w:val="16"/>
    </w:rPr>
  </w:style>
  <w:style w:type="paragraph" w:styleId="17">
    <w:name w:val="Quote"/>
    <w:basedOn w:val="4"/>
    <w:next w:val="4"/>
    <w:link w:val="18"/>
    <w:qFormat/>
    <w:uiPriority w:val="29"/>
    <w:rPr>
      <w:i/>
      <w:iCs/>
      <w:color w:val="000000"/>
    </w:rPr>
  </w:style>
  <w:style w:type="character" w:customStyle="1" w:styleId="18">
    <w:name w:val="引用 Char"/>
    <w:link w:val="17"/>
    <w:uiPriority w:val="29"/>
    <w:rPr>
      <w:i/>
      <w:iCs/>
      <w:color w:val="000000"/>
    </w:rPr>
  </w:style>
  <w:style w:type="paragraph" w:customStyle="1" w:styleId="19">
    <w:name w:val="MTDisplayEquation"/>
    <w:basedOn w:val="4"/>
    <w:next w:val="4"/>
    <w:link w:val="20"/>
    <w:qFormat/>
    <w:uiPriority w:val="0"/>
    <w:pPr>
      <w:tabs>
        <w:tab w:val="center" w:pos="4160"/>
        <w:tab w:val="right" w:pos="8300"/>
      </w:tabs>
    </w:pPr>
  </w:style>
  <w:style w:type="character" w:customStyle="1" w:styleId="20">
    <w:name w:val="MTDisplayEquation Char"/>
    <w:basedOn w:val="11"/>
    <w:link w:val="19"/>
    <w:qFormat/>
    <w:uiPriority w:val="0"/>
  </w:style>
  <w:style w:type="character" w:customStyle="1" w:styleId="21">
    <w:name w:val="脚注文本 Char"/>
    <w:link w:val="7"/>
    <w:semiHidden/>
    <w:qFormat/>
    <w:uiPriority w:val="99"/>
    <w:rPr>
      <w:sz w:val="18"/>
      <w:szCs w:val="18"/>
    </w:rPr>
  </w:style>
  <w:style w:type="paragraph" w:customStyle="1" w:styleId="22">
    <w:name w:val="[基本段落]"/>
    <w:basedOn w:val="23"/>
    <w:uiPriority w:val="0"/>
    <w:rPr>
      <w:rFonts w:eastAsia="宋体"/>
    </w:rPr>
  </w:style>
  <w:style w:type="paragraph" w:customStyle="1" w:styleId="23">
    <w:name w:val="[系统文字]"/>
    <w:qFormat/>
    <w:uiPriority w:val="0"/>
    <w:pPr>
      <w:jc w:val="both"/>
    </w:pPr>
    <w:rPr>
      <w:rFonts w:ascii="NEU-BZ" w:hAnsi="NEU-BZ" w:eastAsia="方正书宋_GBK" w:cs="Times New Roman"/>
      <w:color w:val="000000"/>
      <w:sz w:val="21"/>
      <w:szCs w:val="21"/>
      <w:lang w:val="en-US" w:eastAsia="zh-CN" w:bidi="ar-SA"/>
    </w:rPr>
  </w:style>
  <w:style w:type="paragraph" w:customStyle="1" w:styleId="24">
    <w:name w:val="Title 2"/>
    <w:basedOn w:val="1"/>
    <w:uiPriority w:val="0"/>
    <w:pPr>
      <w:jc w:val="center"/>
      <w:outlineLvl w:val="3"/>
    </w:pPr>
    <w:rPr>
      <w:rFonts w:eastAsia="方正小标宋_GBK"/>
      <w:sz w:val="36"/>
      <w:szCs w:val="36"/>
    </w:rPr>
  </w:style>
  <w:style w:type="paragraph" w:customStyle="1" w:styleId="25">
    <w:name w:val="Title 3"/>
    <w:basedOn w:val="1"/>
    <w:qFormat/>
    <w:uiPriority w:val="0"/>
    <w:pPr>
      <w:jc w:val="center"/>
      <w:outlineLvl w:val="4"/>
    </w:pPr>
    <w:rPr>
      <w:rFonts w:eastAsia="幼圆"/>
      <w:sz w:val="32"/>
      <w:szCs w:val="32"/>
    </w:rPr>
  </w:style>
  <w:style w:type="character" w:customStyle="1" w:styleId="26">
    <w:name w:val="标题 2 Char"/>
    <w:link w:val="2"/>
    <w:qFormat/>
    <w:uiPriority w:val="9"/>
    <w:rPr>
      <w:rFonts w:ascii="Times New Roman" w:hAnsi="Times New Roman" w:eastAsia="宋体" w:cs="Times New Roman"/>
      <w:b/>
      <w:bCs/>
      <w:color w:val="00000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5" Type="http://schemas.openxmlformats.org/officeDocument/2006/relationships/fontTable" Target="fontTable.xml"/><Relationship Id="rId24" Type="http://schemas.openxmlformats.org/officeDocument/2006/relationships/customXml" Target="../customXml/item4.xml"/><Relationship Id="rId23" Type="http://schemas.openxmlformats.org/officeDocument/2006/relationships/customXml" Target="../customXml/item3.xml"/><Relationship Id="rId22" Type="http://schemas.openxmlformats.org/officeDocument/2006/relationships/customXml" Target="../customXml/item2.xml"/><Relationship Id="rId21" Type="http://schemas.openxmlformats.org/officeDocument/2006/relationships/customXml" Target="../customXml/item1.xml"/><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verPageProperties xmlns="http://schemas.microsoft.com/office/2006/coverPageProps">
  <PublishDate>2009-03-09T00:00:00</PublishDate>
  <Abstract/>
  <CompanyAddress/>
  <CompanyPhone/>
  <CompanyFax/>
  <CompanyEmail/>
</CoverPageProperties>
</file>

<file path=customXml/item3.xml><?xml version="1.0" encoding="utf-8"?>
<dp:LabelRoot xmlns:dp="http://www.founder.com/2010/digitalPublish/labelTree" tagType="contentCtrl">
</dp:LabelRoot>
</file>

<file path=customXml/item4.xml><?xml version="1.0" encoding="utf-8"?>
<cxp:PackageInfo xmlns:cxp="http://www.founder.com/2010/customXmlParts">
  <LabelTrees>
    <LabelTree customXmlPartId="{4B3307D3-B2C9-4FF8-8CBB-8B9570B3AA04}"/>
  </LabelTrees>
</cxp:PackageInfo>
</file>

<file path=customXml/itemProps1.xml><?xml version="1.0" encoding="utf-8"?>
<ds:datastoreItem xmlns:ds="http://schemas.openxmlformats.org/officeDocument/2006/customXml" ds:itemID="{38AE6BDF-9FFF-4238-AA73-84248D4FA3DD}">
  <ds:schemaRefs/>
</ds:datastoreItem>
</file>

<file path=customXml/itemProps2.xml><?xml version="1.0" encoding="utf-8"?>
<ds:datastoreItem xmlns:ds="http://schemas.openxmlformats.org/officeDocument/2006/customXml" ds:itemID="{F8788689-C533-4448-945B-12F4B397B557}">
  <ds:schemaRefs/>
</ds:datastoreItem>
</file>

<file path=customXml/itemProps3.xml><?xml version="1.0" encoding="utf-8"?>
<ds:datastoreItem xmlns:ds="http://schemas.openxmlformats.org/officeDocument/2006/customXml" ds:itemID="{4B3307D3-B2C9-4FF8-8CBB-8B9570B3AA04}">
  <ds:schemaRefs/>
</ds:datastoreItem>
</file>

<file path=customXml/itemProps4.xml><?xml version="1.0" encoding="utf-8"?>
<ds:datastoreItem xmlns:ds="http://schemas.openxmlformats.org/officeDocument/2006/customXml" ds:itemID="{A6139CF6-5931-4AE5-A712-2A5998365C5A}">
  <ds:schemaRefs/>
</ds:datastoreItem>
</file>

<file path=docProps/app.xml><?xml version="1.0" encoding="utf-8"?>
<Properties xmlns="http://schemas.openxmlformats.org/officeDocument/2006/extended-properties" xmlns:vt="http://schemas.openxmlformats.org/officeDocument/2006/docPropsVTypes">
  <Template>Normal.dotm</Template>
  <Company>Intergen Ltd</Company>
  <Pages>5</Pages>
  <Words>2393</Words>
  <Characters>2883</Characters>
  <Lines>23</Lines>
  <Paragraphs>6</Paragraphs>
  <TotalTime>102</TotalTime>
  <ScaleCrop>false</ScaleCrop>
  <LinksUpToDate>false</LinksUpToDate>
  <CharactersWithSpaces>3159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2025-04-10T01:17:00Z</dcterms:created>
  <dc:creator>Administrator</dc:creator>
  <cp:lastModifiedBy>朱心</cp:lastModifiedBy>
  <dcterms:modified xsi:type="dcterms:W3CDTF">2025-10-11T15:28:27Z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eyJoZGlkIjoiODc3Y2Q3OTUxNGIzNzEyMmJjYmU0N2Q3MzBmNTI2ZDciLCJ1c2VySWQiOiIxMjMyMTIyMDE4In0=</vt:lpwstr>
  </property>
  <property fmtid="{D5CDD505-2E9C-101B-9397-08002B2CF9AE}" pid="3" name="KSOProductBuildVer">
    <vt:lpwstr>2052-12.1.0.22529</vt:lpwstr>
  </property>
  <property fmtid="{D5CDD505-2E9C-101B-9397-08002B2CF9AE}" pid="4" name="ICV">
    <vt:lpwstr>5EB9E35768C94389B2CE9340F22BEEB3_13</vt:lpwstr>
  </property>
</Properties>
</file>